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40" w:rsidRPr="00477AF8" w:rsidRDefault="00477AF8" w:rsidP="00544F05">
      <w:pPr>
        <w:spacing w:before="240" w:line="276" w:lineRule="auto"/>
        <w:jc w:val="center"/>
        <w:rPr>
          <w:rFonts w:ascii="BPG Nino Mtavruli" w:hAnsi="BPG Nino Mtavruli"/>
          <w:b/>
          <w:sz w:val="32"/>
          <w:lang w:val="ka-GE"/>
        </w:rPr>
      </w:pPr>
      <w:r w:rsidRPr="00477AF8">
        <w:rPr>
          <w:rFonts w:ascii="BPG Nino Mtavruli" w:hAnsi="BPG Nino Mtavruli"/>
          <w:b/>
          <w:sz w:val="32"/>
          <w:lang w:val="ka-GE"/>
        </w:rPr>
        <w:t>მაკროეკონომიკური სცენარების ანალიზი</w:t>
      </w:r>
    </w:p>
    <w:p w:rsidR="00711066" w:rsidRDefault="00711066" w:rsidP="00544F05">
      <w:pPr>
        <w:spacing w:before="240" w:line="276" w:lineRule="auto"/>
      </w:pPr>
    </w:p>
    <w:p w:rsidR="0014592A" w:rsidRDefault="0014592A" w:rsidP="00544F05">
      <w:pPr>
        <w:pStyle w:val="Heading1"/>
        <w:spacing w:before="240" w:line="276" w:lineRule="auto"/>
        <w:rPr>
          <w:b/>
          <w:bCs w:val="0"/>
          <w:sz w:val="28"/>
          <w:szCs w:val="28"/>
        </w:rPr>
      </w:pPr>
      <w:r w:rsidRPr="00531C8D">
        <w:rPr>
          <w:b/>
          <w:bCs w:val="0"/>
          <w:sz w:val="28"/>
          <w:szCs w:val="28"/>
        </w:rPr>
        <w:t>შესავალი</w:t>
      </w:r>
    </w:p>
    <w:p w:rsidR="00BC7174" w:rsidRPr="005D1D66" w:rsidRDefault="00BC7174" w:rsidP="00BC7174">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2021 წლიდან უკვე მკაფიო გახდა ეკონომიკის აღდგენის გაცილებით სწრაფი ტრენდი, ვიდრე ეს მანამდე იყო ნავარაუდევი. </w:t>
      </w:r>
      <w:r w:rsidRPr="00DF663D">
        <w:rPr>
          <w:rFonts w:ascii="Sylfaen" w:hAnsi="Sylfaen" w:cs="Segoe UI"/>
          <w:sz w:val="20"/>
          <w:szCs w:val="20"/>
          <w:lang w:val="ka-GE"/>
        </w:rPr>
        <w:t xml:space="preserve">COVID-19 პანდემიის შემდგომ, მსოფლიო ეკონომიკას ახასიათებდა V-სებრი ზრდის დინამიკა და კვლავ აღდგენის პერიოდში იყო, თუმცა, </w:t>
      </w:r>
      <w:r>
        <w:rPr>
          <w:rFonts w:ascii="Sylfaen" w:hAnsi="Sylfaen" w:cs="Segoe UI"/>
          <w:sz w:val="20"/>
          <w:szCs w:val="20"/>
          <w:lang w:val="ka-GE"/>
        </w:rPr>
        <w:t xml:space="preserve">რუსეთის მიერ უკრაინაში შეჭრის შემდეგ </w:t>
      </w:r>
      <w:r w:rsidRPr="00DF663D">
        <w:rPr>
          <w:rFonts w:ascii="Sylfaen" w:hAnsi="Sylfaen" w:cs="Segoe UI"/>
          <w:sz w:val="20"/>
          <w:szCs w:val="20"/>
          <w:lang w:val="ka-GE"/>
        </w:rPr>
        <w:t xml:space="preserve">ზრდის პერსპექტივები გაუარესდა  </w:t>
      </w:r>
      <w:r>
        <w:rPr>
          <w:rFonts w:ascii="Sylfaen" w:hAnsi="Sylfaen" w:cs="Segoe UI"/>
          <w:sz w:val="20"/>
          <w:szCs w:val="20"/>
          <w:lang w:val="ka-GE"/>
        </w:rPr>
        <w:t xml:space="preserve">და გაურკვევლობა გაიზარდა როგორც უკრაინაში მიმდინარე ომის, ასევე რუსეთის მიმართ დაწესებული სანქციების გამო. </w:t>
      </w:r>
    </w:p>
    <w:p w:rsidR="00BC7174" w:rsidRDefault="00BC7174" w:rsidP="00BC7174">
      <w:pPr>
        <w:spacing w:before="240" w:line="276" w:lineRule="auto"/>
        <w:ind w:firstLine="540"/>
        <w:jc w:val="both"/>
        <w:rPr>
          <w:rFonts w:ascii="Sylfaen" w:hAnsi="Sylfaen" w:cs="Segoe UI"/>
          <w:sz w:val="20"/>
          <w:szCs w:val="20"/>
          <w:lang w:val="ka-GE"/>
        </w:rPr>
      </w:pPr>
      <w:r w:rsidRPr="00AB5720">
        <w:rPr>
          <w:rFonts w:ascii="Sylfaen" w:hAnsi="Sylfaen" w:cs="Segoe UI"/>
          <w:sz w:val="20"/>
          <w:szCs w:val="20"/>
          <w:lang w:val="ka-GE"/>
        </w:rPr>
        <w:t>პანდემიი</w:t>
      </w:r>
      <w:r>
        <w:rPr>
          <w:rFonts w:ascii="Sylfaen" w:hAnsi="Sylfaen" w:cs="Segoe UI"/>
          <w:sz w:val="20"/>
          <w:szCs w:val="20"/>
          <w:lang w:val="ka-GE"/>
        </w:rPr>
        <w:t xml:space="preserve">ს </w:t>
      </w:r>
      <w:r w:rsidRPr="00AB5720">
        <w:rPr>
          <w:rFonts w:ascii="Sylfaen" w:hAnsi="Sylfaen" w:cs="Segoe UI"/>
          <w:sz w:val="20"/>
          <w:szCs w:val="20"/>
          <w:lang w:val="ka-GE"/>
        </w:rPr>
        <w:t>შემდეგაც მაღალი რჩება გაურკვევლობა გლობალურ ეკონომიკურ აღდგენ</w:t>
      </w:r>
      <w:r>
        <w:rPr>
          <w:rFonts w:ascii="Sylfaen" w:hAnsi="Sylfaen" w:cs="Segoe UI"/>
          <w:sz w:val="20"/>
          <w:szCs w:val="20"/>
          <w:lang w:val="ka-GE"/>
        </w:rPr>
        <w:t>ა</w:t>
      </w:r>
      <w:r w:rsidR="00CE7D75">
        <w:rPr>
          <w:rFonts w:ascii="Sylfaen" w:hAnsi="Sylfaen" w:cs="Segoe UI"/>
          <w:sz w:val="20"/>
          <w:szCs w:val="20"/>
          <w:lang w:val="ka-GE"/>
        </w:rPr>
        <w:t>ია</w:t>
      </w:r>
      <w:r w:rsidRPr="00AB5720">
        <w:rPr>
          <w:rFonts w:ascii="Sylfaen" w:hAnsi="Sylfaen" w:cs="Segoe UI"/>
          <w:sz w:val="20"/>
          <w:szCs w:val="20"/>
          <w:lang w:val="ka-GE"/>
        </w:rPr>
        <w:t>ს</w:t>
      </w:r>
      <w:r>
        <w:rPr>
          <w:rFonts w:ascii="Sylfaen" w:hAnsi="Sylfaen" w:cs="Segoe UI"/>
          <w:sz w:val="20"/>
          <w:szCs w:val="20"/>
          <w:lang w:val="ka-GE"/>
        </w:rPr>
        <w:t>ა და საშუალოვადიან</w:t>
      </w:r>
      <w:r w:rsidRPr="00AB5720">
        <w:rPr>
          <w:rFonts w:ascii="Sylfaen" w:hAnsi="Sylfaen" w:cs="Segoe UI"/>
          <w:sz w:val="20"/>
          <w:szCs w:val="20"/>
          <w:lang w:val="ka-GE"/>
        </w:rPr>
        <w:t xml:space="preserve"> პერსპექტივებზე</w:t>
      </w:r>
      <w:r>
        <w:rPr>
          <w:rFonts w:ascii="Sylfaen" w:hAnsi="Sylfaen" w:cs="Segoe UI"/>
          <w:sz w:val="20"/>
          <w:szCs w:val="20"/>
          <w:lang w:val="ka-GE"/>
        </w:rPr>
        <w:t>, რადგან გაურკვევლობის ახალ წყაროს წარმოადგენს აგრეთვე მსოფლიოში მინდინარე ბოლოდროინდელი მოვლენები.</w:t>
      </w:r>
      <w:r w:rsidRPr="00AB5720">
        <w:rPr>
          <w:rFonts w:ascii="Sylfaen" w:hAnsi="Sylfaen" w:cs="Segoe UI"/>
          <w:sz w:val="20"/>
          <w:szCs w:val="20"/>
          <w:lang w:val="ka-GE"/>
        </w:rPr>
        <w:t xml:space="preserve"> </w:t>
      </w:r>
      <w:r>
        <w:rPr>
          <w:rFonts w:ascii="Sylfaen" w:hAnsi="Sylfaen" w:cs="Segoe UI"/>
          <w:sz w:val="20"/>
          <w:szCs w:val="20"/>
          <w:lang w:val="ka-GE"/>
        </w:rPr>
        <w:t xml:space="preserve">ეკონომიკის აღდგენის ტემპი განსხვავებულია ქვეყნებისა და ეკონომიკური სექტორების მიხედვით და განპირობებულია, ერთი მხრივ, პანდემიით გამოწვეული დაზიანების ხარისხითა და პოლიტიკის საპასუხო მხარდასაჭერი ღონისძიებებით, მეორე მხრივ კი მსოფლიო ბაზარზე მიმდინარე სურსათზე და ნავთობპროდუქტებზე ფასების მატებითა და რუსეთ-უკრაინის ომიდან მომდინარე გაურკვევლობით. გასათვალისწინებელია </w:t>
      </w:r>
      <w:r w:rsidR="008F0C01">
        <w:rPr>
          <w:rFonts w:ascii="Sylfaen" w:hAnsi="Sylfaen" w:cs="Segoe UI"/>
          <w:sz w:val="20"/>
          <w:szCs w:val="20"/>
          <w:lang w:val="ka-GE"/>
        </w:rPr>
        <w:t xml:space="preserve">ასევე </w:t>
      </w:r>
      <w:r>
        <w:rPr>
          <w:rFonts w:ascii="Sylfaen" w:hAnsi="Sylfaen" w:cs="Segoe UI"/>
          <w:sz w:val="20"/>
          <w:szCs w:val="20"/>
          <w:lang w:val="ka-GE"/>
        </w:rPr>
        <w:t xml:space="preserve">რუსეთის მიერ უკრაინაში შეჭრით გამოწვეული შედეგები. </w:t>
      </w:r>
    </w:p>
    <w:p w:rsidR="00BC7174" w:rsidRPr="00AB5720" w:rsidRDefault="00BC7174" w:rsidP="00BC7174">
      <w:pPr>
        <w:spacing w:before="240" w:line="276" w:lineRule="auto"/>
        <w:ind w:firstLine="540"/>
        <w:jc w:val="both"/>
        <w:rPr>
          <w:rFonts w:ascii="Sylfaen" w:hAnsi="Sylfaen" w:cs="Segoe UI"/>
          <w:sz w:val="20"/>
          <w:szCs w:val="20"/>
          <w:lang w:val="ka-GE"/>
        </w:rPr>
      </w:pPr>
      <w:r w:rsidRPr="00913859">
        <w:rPr>
          <w:rFonts w:ascii="Sylfaen" w:hAnsi="Sylfaen" w:cs="Segoe UI"/>
          <w:sz w:val="20"/>
          <w:szCs w:val="20"/>
          <w:lang w:val="ka-GE"/>
        </w:rPr>
        <w:t>უკრაინ</w:t>
      </w:r>
      <w:r>
        <w:rPr>
          <w:rFonts w:ascii="Sylfaen" w:hAnsi="Sylfaen" w:cs="Segoe UI"/>
          <w:sz w:val="20"/>
          <w:szCs w:val="20"/>
          <w:lang w:val="ka-GE"/>
        </w:rPr>
        <w:t>აშ</w:t>
      </w:r>
      <w:r w:rsidRPr="00913859">
        <w:rPr>
          <w:rFonts w:ascii="Sylfaen" w:hAnsi="Sylfaen" w:cs="Segoe UI"/>
          <w:sz w:val="20"/>
          <w:szCs w:val="20"/>
          <w:lang w:val="ka-GE"/>
        </w:rPr>
        <w:t>ი</w:t>
      </w:r>
      <w:r>
        <w:rPr>
          <w:rFonts w:ascii="Sylfaen" w:hAnsi="Sylfaen" w:cs="Segoe UI"/>
          <w:sz w:val="20"/>
          <w:szCs w:val="20"/>
          <w:lang w:val="ka-GE"/>
        </w:rPr>
        <w:t xml:space="preserve"> არსებულმა</w:t>
      </w:r>
      <w:r w:rsidRPr="00913859">
        <w:rPr>
          <w:rFonts w:ascii="Sylfaen" w:hAnsi="Sylfaen" w:cs="Segoe UI"/>
          <w:sz w:val="20"/>
          <w:szCs w:val="20"/>
          <w:lang w:val="ka-GE"/>
        </w:rPr>
        <w:t xml:space="preserve"> ომმა გამოიწვია </w:t>
      </w:r>
      <w:r>
        <w:rPr>
          <w:rFonts w:ascii="Sylfaen" w:hAnsi="Sylfaen" w:cs="Segoe UI"/>
          <w:sz w:val="20"/>
          <w:szCs w:val="20"/>
          <w:lang w:val="ka-GE"/>
        </w:rPr>
        <w:t>მსოფლიო</w:t>
      </w:r>
      <w:r w:rsidRPr="00913859">
        <w:rPr>
          <w:rFonts w:ascii="Sylfaen" w:hAnsi="Sylfaen" w:cs="Segoe UI"/>
          <w:sz w:val="20"/>
          <w:szCs w:val="20"/>
          <w:lang w:val="ka-GE"/>
        </w:rPr>
        <w:t xml:space="preserve"> ჰუმანიტარული კრიზისი</w:t>
      </w:r>
      <w:r>
        <w:rPr>
          <w:rFonts w:ascii="Sylfaen" w:hAnsi="Sylfaen" w:cs="Segoe UI"/>
          <w:sz w:val="20"/>
          <w:szCs w:val="20"/>
          <w:lang w:val="ka-GE"/>
        </w:rPr>
        <w:t xml:space="preserve">. </w:t>
      </w:r>
      <w:r w:rsidRPr="00913859">
        <w:rPr>
          <w:rFonts w:ascii="Sylfaen" w:hAnsi="Sylfaen" w:cs="Segoe UI"/>
          <w:sz w:val="20"/>
          <w:szCs w:val="20"/>
          <w:lang w:val="ka-GE"/>
        </w:rPr>
        <w:t xml:space="preserve">ამავდროულად, კონფლიქტის შედეგად მიღებული ეკონომიკური ზიანი </w:t>
      </w:r>
      <w:r>
        <w:rPr>
          <w:rFonts w:ascii="Sylfaen" w:hAnsi="Sylfaen" w:cs="Segoe UI"/>
          <w:sz w:val="20"/>
          <w:szCs w:val="20"/>
          <w:lang w:val="ka-GE"/>
        </w:rPr>
        <w:t xml:space="preserve">გამოიწვევს </w:t>
      </w:r>
      <w:r w:rsidRPr="00913859">
        <w:rPr>
          <w:rFonts w:ascii="Sylfaen" w:hAnsi="Sylfaen" w:cs="Segoe UI"/>
          <w:sz w:val="20"/>
          <w:szCs w:val="20"/>
          <w:lang w:val="ka-GE"/>
        </w:rPr>
        <w:t>გლობალური ზრდის მნიშვნელოვან შენელებას</w:t>
      </w:r>
      <w:r w:rsidR="002C6B8A">
        <w:rPr>
          <w:rFonts w:ascii="Sylfaen" w:hAnsi="Sylfaen" w:cs="Segoe UI"/>
          <w:sz w:val="20"/>
          <w:szCs w:val="20"/>
          <w:lang w:val="ka-GE"/>
        </w:rPr>
        <w:t xml:space="preserve"> 2023</w:t>
      </w:r>
      <w:r w:rsidRPr="00913859">
        <w:rPr>
          <w:rFonts w:ascii="Sylfaen" w:hAnsi="Sylfaen" w:cs="Segoe UI"/>
          <w:sz w:val="20"/>
          <w:szCs w:val="20"/>
          <w:lang w:val="ka-GE"/>
        </w:rPr>
        <w:t xml:space="preserve"> წელს და გაზრდის ინფლაციას. საწვავის და სურსათის ფასები სწრაფად გაიზარდა, რაც ყველაზე მეტად </w:t>
      </w:r>
      <w:r>
        <w:rPr>
          <w:rFonts w:ascii="Sylfaen" w:hAnsi="Sylfaen" w:cs="Segoe UI"/>
          <w:sz w:val="20"/>
          <w:szCs w:val="20"/>
          <w:lang w:val="ka-GE"/>
        </w:rPr>
        <w:t>მოწყვლად</w:t>
      </w:r>
      <w:r w:rsidRPr="00913859">
        <w:rPr>
          <w:rFonts w:ascii="Sylfaen" w:hAnsi="Sylfaen" w:cs="Segoe UI"/>
          <w:sz w:val="20"/>
          <w:szCs w:val="20"/>
          <w:lang w:val="ka-GE"/>
        </w:rPr>
        <w:t xml:space="preserve"> მოსახლეობას აზარალებს დაბალშემოსავლიან ქვეყნებში.</w:t>
      </w:r>
    </w:p>
    <w:p w:rsidR="00BC7174" w:rsidRPr="000A4D4A" w:rsidRDefault="00BC7174" w:rsidP="00BC7174">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2022 წლის </w:t>
      </w:r>
      <w:r>
        <w:rPr>
          <w:rFonts w:ascii="Sylfaen" w:hAnsi="Sylfaen" w:cs="Segoe UI"/>
          <w:sz w:val="20"/>
          <w:szCs w:val="20"/>
        </w:rPr>
        <w:t>ოქტომბრის</w:t>
      </w:r>
      <w:r>
        <w:rPr>
          <w:rFonts w:ascii="Sylfaen" w:hAnsi="Sylfaen" w:cs="Segoe UI"/>
          <w:sz w:val="20"/>
          <w:szCs w:val="20"/>
          <w:lang w:val="ka-GE"/>
        </w:rPr>
        <w:t xml:space="preserve"> მსოფლიო ეკონომიკური მიმოხილვის მიხედვით</w:t>
      </w:r>
      <w:r w:rsidR="008F0C01">
        <w:rPr>
          <w:rFonts w:ascii="Sylfaen" w:hAnsi="Sylfaen" w:cs="Segoe UI"/>
          <w:sz w:val="20"/>
          <w:szCs w:val="20"/>
          <w:lang w:val="ka-GE"/>
        </w:rPr>
        <w:t>,</w:t>
      </w:r>
      <w:r>
        <w:rPr>
          <w:rFonts w:ascii="Sylfaen" w:hAnsi="Sylfaen" w:cs="Segoe UI"/>
          <w:sz w:val="20"/>
          <w:szCs w:val="20"/>
          <w:lang w:val="ka-GE"/>
        </w:rPr>
        <w:t xml:space="preserve"> საერთაშორისო სავალუტო ფონდმა, 2021</w:t>
      </w:r>
      <w:r w:rsidRPr="000A4D4A">
        <w:rPr>
          <w:rFonts w:ascii="Sylfaen" w:hAnsi="Sylfaen" w:cs="Segoe UI"/>
          <w:sz w:val="20"/>
          <w:szCs w:val="20"/>
          <w:lang w:val="ka-GE"/>
        </w:rPr>
        <w:t xml:space="preserve"> </w:t>
      </w:r>
      <w:r>
        <w:rPr>
          <w:rFonts w:ascii="Sylfaen" w:hAnsi="Sylfaen" w:cs="Segoe UI"/>
          <w:sz w:val="20"/>
          <w:szCs w:val="20"/>
          <w:lang w:val="ka-GE"/>
        </w:rPr>
        <w:t>წელ</w:t>
      </w:r>
      <w:r w:rsidRPr="000A4D4A">
        <w:rPr>
          <w:rFonts w:ascii="Sylfaen" w:hAnsi="Sylfaen" w:cs="Segoe UI"/>
          <w:sz w:val="20"/>
          <w:szCs w:val="20"/>
          <w:lang w:val="ka-GE"/>
        </w:rPr>
        <w:t>ს</w:t>
      </w:r>
      <w:r>
        <w:rPr>
          <w:rFonts w:ascii="Sylfaen" w:hAnsi="Sylfaen" w:cs="Segoe UI"/>
          <w:sz w:val="20"/>
          <w:szCs w:val="20"/>
          <w:lang w:val="ka-GE"/>
        </w:rPr>
        <w:t xml:space="preserve"> დაფიქსირებული 6%-იანი ეკონომიკური ზრდის შემდეგ, 2022-2023 წლების გლობალური </w:t>
      </w:r>
      <w:r w:rsidRPr="000A4D4A">
        <w:rPr>
          <w:rFonts w:ascii="Sylfaen" w:hAnsi="Sylfaen" w:cs="Segoe UI"/>
          <w:sz w:val="20"/>
          <w:szCs w:val="20"/>
          <w:lang w:val="ka-GE"/>
        </w:rPr>
        <w:t xml:space="preserve">ეკონომიკური </w:t>
      </w:r>
      <w:r>
        <w:rPr>
          <w:rFonts w:ascii="Sylfaen" w:hAnsi="Sylfaen" w:cs="Segoe UI"/>
          <w:sz w:val="20"/>
          <w:szCs w:val="20"/>
          <w:lang w:val="ka-GE"/>
        </w:rPr>
        <w:t>ზრდა 3.2%-ზე შეაფასა.</w:t>
      </w:r>
      <w:r>
        <w:rPr>
          <w:rFonts w:ascii="Sylfaen" w:hAnsi="Sylfaen" w:cs="Segoe UI"/>
          <w:sz w:val="20"/>
          <w:szCs w:val="20"/>
          <w:lang w:val="en-GB"/>
        </w:rPr>
        <w:t xml:space="preserve"> </w:t>
      </w:r>
      <w:r>
        <w:rPr>
          <w:rFonts w:ascii="Sylfaen" w:hAnsi="Sylfaen" w:cs="Segoe UI"/>
          <w:sz w:val="20"/>
          <w:szCs w:val="20"/>
          <w:lang w:val="ka-GE"/>
        </w:rPr>
        <w:t xml:space="preserve">2022 წლის ოქტომბრის პროგნოზი 2022 წლის </w:t>
      </w:r>
      <w:r>
        <w:rPr>
          <w:rFonts w:ascii="Sylfaen" w:hAnsi="Sylfaen" w:cs="Segoe UI"/>
          <w:sz w:val="20"/>
          <w:szCs w:val="20"/>
        </w:rPr>
        <w:t>ივლის</w:t>
      </w:r>
      <w:r>
        <w:rPr>
          <w:rFonts w:ascii="Sylfaen" w:hAnsi="Sylfaen" w:cs="Segoe UI"/>
          <w:sz w:val="20"/>
          <w:szCs w:val="20"/>
          <w:lang w:val="ka-GE"/>
        </w:rPr>
        <w:t>ში გაკეთებულ პროგნოზზე 0.2 პ.პ-ით ნაკლებია. მოლოდინების გადახედვის მიზეზი ომთან დაკავშირებული საკითხები გახდა. სამომავლო ზრდისთვის აუცილებელი იქნება</w:t>
      </w:r>
      <w:r w:rsidRPr="007F333F">
        <w:rPr>
          <w:rFonts w:ascii="Sylfaen" w:hAnsi="Sylfaen" w:cs="Segoe UI"/>
          <w:sz w:val="20"/>
          <w:szCs w:val="20"/>
          <w:lang w:val="ka-GE"/>
        </w:rPr>
        <w:t xml:space="preserve"> ჰუმანიტარულ კრიზისზე რეაგირების</w:t>
      </w:r>
      <w:r>
        <w:rPr>
          <w:rFonts w:ascii="Sylfaen" w:hAnsi="Sylfaen" w:cs="Segoe UI"/>
          <w:sz w:val="20"/>
          <w:szCs w:val="20"/>
          <w:lang w:val="ka-GE"/>
        </w:rPr>
        <w:t>ათვის</w:t>
      </w:r>
      <w:r w:rsidRPr="007F333F">
        <w:rPr>
          <w:rFonts w:ascii="Sylfaen" w:hAnsi="Sylfaen" w:cs="Segoe UI"/>
          <w:sz w:val="20"/>
          <w:szCs w:val="20"/>
          <w:lang w:val="ka-GE"/>
        </w:rPr>
        <w:t xml:space="preserve"> მრავალმხრივი ძალისხმევა, შემდგომი ეკონომიკური ფრაგმენტაციის თავიდან აცილება, გლობალური ლიკვიდობის შენარჩუნება, ვალის პრობლემების მართვა, კლიმატის ცვლილების დაძლევა და პანდემიის დასრულება</w:t>
      </w:r>
      <w:r>
        <w:rPr>
          <w:rFonts w:ascii="Sylfaen" w:hAnsi="Sylfaen" w:cs="Segoe UI"/>
          <w:sz w:val="20"/>
          <w:szCs w:val="20"/>
          <w:lang w:val="ka-GE"/>
        </w:rPr>
        <w:t>.</w:t>
      </w:r>
    </w:p>
    <w:p w:rsidR="00BC7174" w:rsidRDefault="00BC7174" w:rsidP="00BC7174">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მსოფლიო </w:t>
      </w:r>
      <w:r w:rsidRPr="000A4D4A">
        <w:rPr>
          <w:rFonts w:ascii="Sylfaen" w:hAnsi="Sylfaen" w:cs="Segoe UI"/>
          <w:sz w:val="20"/>
          <w:szCs w:val="20"/>
          <w:lang w:val="ka-GE"/>
        </w:rPr>
        <w:t>ბანკის</w:t>
      </w:r>
      <w:r>
        <w:rPr>
          <w:rFonts w:ascii="Sylfaen" w:hAnsi="Sylfaen" w:cs="Segoe UI"/>
          <w:sz w:val="20"/>
          <w:szCs w:val="20"/>
        </w:rPr>
        <w:t xml:space="preserve"> 2022 </w:t>
      </w:r>
      <w:r>
        <w:rPr>
          <w:rFonts w:ascii="Sylfaen" w:hAnsi="Sylfaen" w:cs="Segoe UI"/>
          <w:sz w:val="20"/>
          <w:szCs w:val="20"/>
          <w:lang w:val="ka-GE"/>
        </w:rPr>
        <w:t>წლის ივნისის შეფასების</w:t>
      </w:r>
      <w:r w:rsidRPr="000A4D4A">
        <w:rPr>
          <w:rFonts w:ascii="Sylfaen" w:hAnsi="Sylfaen" w:cs="Segoe UI"/>
          <w:sz w:val="20"/>
          <w:szCs w:val="20"/>
          <w:lang w:val="ka-GE"/>
        </w:rPr>
        <w:t xml:space="preserve"> მიხედვით, </w:t>
      </w:r>
      <w:r>
        <w:rPr>
          <w:rFonts w:ascii="Sylfaen" w:hAnsi="Sylfaen" w:cs="Segoe UI"/>
          <w:sz w:val="20"/>
          <w:szCs w:val="20"/>
          <w:lang w:val="ka-GE"/>
        </w:rPr>
        <w:t>2022 წლის იანვარში ნავარაუდევ 4.1%-იან ზრდასთან შედარებით, მ</w:t>
      </w:r>
      <w:r w:rsidRPr="000A4D4A">
        <w:rPr>
          <w:rFonts w:ascii="Sylfaen" w:hAnsi="Sylfaen" w:cs="Segoe UI"/>
          <w:sz w:val="20"/>
          <w:szCs w:val="20"/>
          <w:lang w:val="ka-GE"/>
        </w:rPr>
        <w:t>სოფლიო ეკონომიკური ზრდა</w:t>
      </w:r>
      <w:r>
        <w:rPr>
          <w:rFonts w:ascii="Sylfaen" w:hAnsi="Sylfaen" w:cs="Segoe UI"/>
          <w:sz w:val="20"/>
          <w:szCs w:val="20"/>
          <w:lang w:val="ka-GE"/>
        </w:rPr>
        <w:t xml:space="preserve"> 202</w:t>
      </w:r>
      <w:r>
        <w:rPr>
          <w:rFonts w:ascii="Sylfaen" w:hAnsi="Sylfaen" w:cs="Segoe UI"/>
          <w:sz w:val="20"/>
          <w:szCs w:val="20"/>
          <w:lang w:val="en-GB"/>
        </w:rPr>
        <w:t>2</w:t>
      </w:r>
      <w:r w:rsidRPr="000A4D4A">
        <w:rPr>
          <w:rFonts w:ascii="Sylfaen" w:hAnsi="Sylfaen" w:cs="Segoe UI"/>
          <w:sz w:val="20"/>
          <w:szCs w:val="20"/>
          <w:lang w:val="ka-GE"/>
        </w:rPr>
        <w:t xml:space="preserve"> წლისთვის </w:t>
      </w:r>
      <w:r>
        <w:rPr>
          <w:rFonts w:ascii="Sylfaen" w:hAnsi="Sylfaen" w:cs="Segoe UI"/>
          <w:sz w:val="20"/>
          <w:szCs w:val="20"/>
          <w:lang w:val="ka-GE"/>
        </w:rPr>
        <w:t>2.9%-</w:t>
      </w:r>
      <w:r w:rsidRPr="000A4D4A">
        <w:rPr>
          <w:rFonts w:ascii="Sylfaen" w:hAnsi="Sylfaen" w:cs="Segoe UI"/>
          <w:sz w:val="20"/>
          <w:szCs w:val="20"/>
          <w:lang w:val="ka-GE"/>
        </w:rPr>
        <w:t>მდე</w:t>
      </w:r>
      <w:r>
        <w:rPr>
          <w:rFonts w:ascii="Sylfaen" w:hAnsi="Sylfaen" w:cs="Segoe UI"/>
          <w:sz w:val="20"/>
          <w:szCs w:val="20"/>
          <w:lang w:val="ka-GE"/>
        </w:rPr>
        <w:t xml:space="preserve"> შემცირდება, ხოლო 2023 წლის ეკონომიკური ზრდის პროგნოზი 3.0%-ია. </w:t>
      </w:r>
      <w:r w:rsidRPr="00913859">
        <w:rPr>
          <w:rFonts w:ascii="Sylfaen" w:hAnsi="Sylfaen" w:cs="Segoe UI"/>
          <w:sz w:val="20"/>
          <w:szCs w:val="20"/>
          <w:lang w:val="en-GB"/>
        </w:rPr>
        <w:t>ეს</w:t>
      </w:r>
      <w:r>
        <w:rPr>
          <w:rFonts w:ascii="Sylfaen" w:hAnsi="Sylfaen" w:cs="Segoe UI"/>
          <w:sz w:val="20"/>
          <w:szCs w:val="20"/>
          <w:lang w:val="en-GB"/>
        </w:rPr>
        <w:t xml:space="preserve"> </w:t>
      </w:r>
      <w:r>
        <w:rPr>
          <w:rFonts w:ascii="Sylfaen" w:hAnsi="Sylfaen" w:cs="Segoe UI"/>
          <w:sz w:val="20"/>
          <w:szCs w:val="20"/>
          <w:lang w:val="ka-GE"/>
        </w:rPr>
        <w:t>მაჩვენებლები</w:t>
      </w:r>
      <w:r>
        <w:rPr>
          <w:rFonts w:ascii="Sylfaen" w:hAnsi="Sylfaen" w:cs="Segoe UI"/>
          <w:sz w:val="20"/>
          <w:szCs w:val="20"/>
          <w:lang w:val="en-GB"/>
        </w:rPr>
        <w:t xml:space="preserve"> </w:t>
      </w:r>
      <w:r w:rsidR="008F0C01">
        <w:rPr>
          <w:rFonts w:ascii="Sylfaen" w:hAnsi="Sylfaen" w:cs="Segoe UI"/>
          <w:sz w:val="20"/>
          <w:szCs w:val="20"/>
          <w:lang w:val="ka-GE"/>
        </w:rPr>
        <w:t xml:space="preserve">იანვარში გაკეთებულ პროგნოზებთან შედარებით </w:t>
      </w:r>
      <w:r>
        <w:rPr>
          <w:rFonts w:ascii="Sylfaen" w:hAnsi="Sylfaen" w:cs="Segoe UI"/>
          <w:sz w:val="20"/>
          <w:szCs w:val="20"/>
          <w:lang w:val="ka-GE"/>
        </w:rPr>
        <w:t>1.2</w:t>
      </w:r>
      <w:r w:rsidRPr="00913859">
        <w:rPr>
          <w:rFonts w:ascii="Sylfaen" w:hAnsi="Sylfaen" w:cs="Segoe UI"/>
          <w:sz w:val="20"/>
          <w:szCs w:val="20"/>
          <w:lang w:val="en-GB"/>
        </w:rPr>
        <w:t xml:space="preserve"> და</w:t>
      </w:r>
      <w:r>
        <w:rPr>
          <w:rFonts w:ascii="Sylfaen" w:hAnsi="Sylfaen" w:cs="Segoe UI"/>
          <w:sz w:val="20"/>
          <w:szCs w:val="20"/>
          <w:lang w:val="en-GB"/>
        </w:rPr>
        <w:t xml:space="preserve"> 0.</w:t>
      </w:r>
      <w:r w:rsidRPr="00913859">
        <w:rPr>
          <w:rFonts w:ascii="Sylfaen" w:hAnsi="Sylfaen" w:cs="Segoe UI"/>
          <w:sz w:val="20"/>
          <w:szCs w:val="20"/>
          <w:lang w:val="en-GB"/>
        </w:rPr>
        <w:t xml:space="preserve">2 </w:t>
      </w:r>
      <w:r>
        <w:rPr>
          <w:rFonts w:ascii="Sylfaen" w:hAnsi="Sylfaen" w:cs="Segoe UI"/>
          <w:sz w:val="20"/>
          <w:szCs w:val="20"/>
          <w:lang w:val="ka-GE"/>
        </w:rPr>
        <w:t>პ.პ-</w:t>
      </w:r>
      <w:r w:rsidRPr="00913859">
        <w:rPr>
          <w:rFonts w:ascii="Sylfaen" w:hAnsi="Sylfaen" w:cs="Segoe UI"/>
          <w:sz w:val="20"/>
          <w:szCs w:val="20"/>
          <w:lang w:val="en-GB"/>
        </w:rPr>
        <w:t>ით ნაკლებია 2022 და 2023 წლებ</w:t>
      </w:r>
      <w:r w:rsidR="008F0C01">
        <w:rPr>
          <w:rFonts w:ascii="Sylfaen" w:hAnsi="Sylfaen" w:cs="Segoe UI"/>
          <w:sz w:val="20"/>
          <w:szCs w:val="20"/>
          <w:lang w:val="ka-GE"/>
        </w:rPr>
        <w:t>ისთვის</w:t>
      </w:r>
      <w:r>
        <w:rPr>
          <w:rFonts w:ascii="Sylfaen" w:hAnsi="Sylfaen" w:cs="Segoe UI"/>
          <w:sz w:val="20"/>
          <w:szCs w:val="20"/>
          <w:lang w:val="ka-GE"/>
        </w:rPr>
        <w:t xml:space="preserve">. </w:t>
      </w:r>
      <w:r w:rsidRPr="00861900">
        <w:rPr>
          <w:rFonts w:ascii="Sylfaen" w:hAnsi="Sylfaen" w:cs="Segoe UI"/>
          <w:sz w:val="20"/>
          <w:szCs w:val="20"/>
        </w:rPr>
        <w:t xml:space="preserve">მსოფლიო ბანკი რუსეთისა და უკრაინის </w:t>
      </w:r>
      <w:r>
        <w:rPr>
          <w:rFonts w:ascii="Sylfaen" w:hAnsi="Sylfaen" w:cs="Segoe UI"/>
          <w:sz w:val="20"/>
          <w:szCs w:val="20"/>
        </w:rPr>
        <w:t>ეკონომიკის</w:t>
      </w:r>
      <w:r w:rsidRPr="00861900">
        <w:rPr>
          <w:rFonts w:ascii="Sylfaen" w:hAnsi="Sylfaen" w:cs="Segoe UI"/>
          <w:sz w:val="20"/>
          <w:szCs w:val="20"/>
        </w:rPr>
        <w:t xml:space="preserve"> მკვეთრ შეკუმშვას </w:t>
      </w:r>
      <w:r>
        <w:rPr>
          <w:rFonts w:ascii="Sylfaen" w:hAnsi="Sylfaen" w:cs="Segoe UI"/>
          <w:sz w:val="20"/>
          <w:szCs w:val="20"/>
          <w:lang w:val="ka-GE"/>
        </w:rPr>
        <w:t>პროგნოზირებს. მოსალოდნელია,</w:t>
      </w:r>
      <w:r w:rsidRPr="00861900">
        <w:rPr>
          <w:rFonts w:ascii="Sylfaen" w:hAnsi="Sylfaen" w:cs="Segoe UI"/>
          <w:sz w:val="20"/>
          <w:szCs w:val="20"/>
        </w:rPr>
        <w:t xml:space="preserve"> რომ ევროპისა და ცენტრალური აზიის ახლომდებარე </w:t>
      </w:r>
      <w:r>
        <w:rPr>
          <w:rFonts w:ascii="Sylfaen" w:hAnsi="Sylfaen" w:cs="Segoe UI"/>
          <w:sz w:val="20"/>
          <w:szCs w:val="20"/>
        </w:rPr>
        <w:t xml:space="preserve">ქვეყნებს </w:t>
      </w:r>
      <w:r>
        <w:rPr>
          <w:rFonts w:ascii="Sylfaen" w:hAnsi="Sylfaen" w:cs="Segoe UI"/>
          <w:sz w:val="20"/>
          <w:szCs w:val="20"/>
          <w:lang w:val="ka-GE"/>
        </w:rPr>
        <w:t>უფრო საგრძნობი</w:t>
      </w:r>
      <w:r w:rsidRPr="00861900">
        <w:rPr>
          <w:rFonts w:ascii="Sylfaen" w:hAnsi="Sylfaen" w:cs="Segoe UI"/>
          <w:sz w:val="20"/>
          <w:szCs w:val="20"/>
        </w:rPr>
        <w:t xml:space="preserve"> </w:t>
      </w:r>
      <w:r>
        <w:rPr>
          <w:rFonts w:ascii="Sylfaen" w:hAnsi="Sylfaen" w:cs="Segoe UI"/>
          <w:sz w:val="20"/>
          <w:szCs w:val="20"/>
        </w:rPr>
        <w:t>შედეგები</w:t>
      </w:r>
      <w:r>
        <w:rPr>
          <w:rFonts w:ascii="Sylfaen" w:hAnsi="Sylfaen" w:cs="Segoe UI"/>
          <w:sz w:val="20"/>
          <w:szCs w:val="20"/>
          <w:lang w:val="ka-GE"/>
        </w:rPr>
        <w:t xml:space="preserve"> </w:t>
      </w:r>
      <w:r>
        <w:rPr>
          <w:rFonts w:ascii="Sylfaen" w:hAnsi="Sylfaen" w:cs="Segoe UI"/>
          <w:sz w:val="20"/>
          <w:szCs w:val="20"/>
        </w:rPr>
        <w:t>ექნება</w:t>
      </w:r>
      <w:r>
        <w:rPr>
          <w:rFonts w:ascii="Sylfaen" w:hAnsi="Sylfaen" w:cs="Segoe UI"/>
          <w:sz w:val="20"/>
          <w:szCs w:val="20"/>
          <w:lang w:val="ka-GE"/>
        </w:rPr>
        <w:t>თ</w:t>
      </w:r>
      <w:r w:rsidRPr="00861900">
        <w:rPr>
          <w:rFonts w:ascii="Sylfaen" w:hAnsi="Sylfaen" w:cs="Segoe UI"/>
          <w:sz w:val="20"/>
          <w:szCs w:val="20"/>
        </w:rPr>
        <w:t xml:space="preserve">. მოწინავე ეკონომიკის </w:t>
      </w:r>
      <w:r>
        <w:rPr>
          <w:rFonts w:ascii="Sylfaen" w:hAnsi="Sylfaen" w:cs="Segoe UI"/>
          <w:sz w:val="20"/>
          <w:szCs w:val="20"/>
        </w:rPr>
        <w:t>ქვეყნებ</w:t>
      </w:r>
      <w:r>
        <w:rPr>
          <w:rFonts w:ascii="Sylfaen" w:hAnsi="Sylfaen" w:cs="Segoe UI"/>
          <w:sz w:val="20"/>
          <w:szCs w:val="20"/>
          <w:lang w:val="ka-GE"/>
        </w:rPr>
        <w:t>ში</w:t>
      </w:r>
      <w:r w:rsidRPr="00861900">
        <w:rPr>
          <w:rFonts w:ascii="Sylfaen" w:hAnsi="Sylfaen" w:cs="Segoe UI"/>
          <w:sz w:val="20"/>
          <w:szCs w:val="20"/>
        </w:rPr>
        <w:t xml:space="preserve"> მოსალოდნელია</w:t>
      </w:r>
      <w:r w:rsidR="003269C4">
        <w:rPr>
          <w:rFonts w:ascii="Sylfaen" w:hAnsi="Sylfaen" w:cs="Segoe UI"/>
          <w:sz w:val="20"/>
          <w:szCs w:val="20"/>
          <w:lang w:val="ka-GE"/>
        </w:rPr>
        <w:t>,</w:t>
      </w:r>
      <w:r w:rsidRPr="00861900">
        <w:rPr>
          <w:rFonts w:ascii="Sylfaen" w:hAnsi="Sylfaen" w:cs="Segoe UI"/>
          <w:sz w:val="20"/>
          <w:szCs w:val="20"/>
        </w:rPr>
        <w:t xml:space="preserve"> </w:t>
      </w:r>
      <w:r>
        <w:rPr>
          <w:rFonts w:ascii="Sylfaen" w:hAnsi="Sylfaen" w:cs="Segoe UI"/>
          <w:sz w:val="20"/>
          <w:szCs w:val="20"/>
          <w:lang w:val="ka-GE"/>
        </w:rPr>
        <w:t>რომ შემცირდეს</w:t>
      </w:r>
      <w:r w:rsidRPr="00861900">
        <w:rPr>
          <w:rFonts w:ascii="Sylfaen" w:hAnsi="Sylfaen" w:cs="Segoe UI"/>
          <w:sz w:val="20"/>
          <w:szCs w:val="20"/>
        </w:rPr>
        <w:t xml:space="preserve"> </w:t>
      </w:r>
      <w:r>
        <w:rPr>
          <w:rFonts w:ascii="Sylfaen" w:hAnsi="Sylfaen" w:cs="Segoe UI"/>
          <w:sz w:val="20"/>
          <w:szCs w:val="20"/>
          <w:lang w:val="ka-GE"/>
        </w:rPr>
        <w:t>მოთხოვნა</w:t>
      </w:r>
      <w:r w:rsidRPr="00861900">
        <w:rPr>
          <w:rFonts w:ascii="Sylfaen" w:hAnsi="Sylfaen" w:cs="Segoe UI"/>
          <w:sz w:val="20"/>
          <w:szCs w:val="20"/>
        </w:rPr>
        <w:t xml:space="preserve"> ბენზინის ფასების ზრდის გამო.</w:t>
      </w:r>
      <w:r>
        <w:rPr>
          <w:rFonts w:ascii="Sylfaen" w:hAnsi="Sylfaen" w:cs="Segoe UI"/>
          <w:sz w:val="20"/>
          <w:szCs w:val="20"/>
          <w:lang w:val="ka-GE"/>
        </w:rPr>
        <w:t xml:space="preserve"> </w:t>
      </w:r>
      <w:r w:rsidRPr="000A4D4A">
        <w:rPr>
          <w:rFonts w:ascii="Sylfaen" w:hAnsi="Sylfaen" w:cs="Segoe UI"/>
          <w:sz w:val="20"/>
          <w:szCs w:val="20"/>
          <w:lang w:val="ka-GE"/>
        </w:rPr>
        <w:t>ხოლო ეკონომიკური განვითარებისა და თანამშრომლობის ორგანიზაცი</w:t>
      </w:r>
      <w:r>
        <w:rPr>
          <w:rFonts w:ascii="Sylfaen" w:hAnsi="Sylfaen" w:cs="Segoe UI"/>
          <w:sz w:val="20"/>
          <w:szCs w:val="20"/>
          <w:lang w:val="ka-GE"/>
        </w:rPr>
        <w:t>ის</w:t>
      </w:r>
      <w:r w:rsidRPr="000A4D4A">
        <w:rPr>
          <w:rFonts w:ascii="Sylfaen" w:hAnsi="Sylfaen" w:cs="Segoe UI"/>
          <w:sz w:val="20"/>
          <w:szCs w:val="20"/>
          <w:lang w:val="ka-GE"/>
        </w:rPr>
        <w:t xml:space="preserve"> (OECD) </w:t>
      </w:r>
      <w:r>
        <w:rPr>
          <w:rFonts w:ascii="Sylfaen" w:hAnsi="Sylfaen" w:cs="Segoe UI"/>
          <w:sz w:val="20"/>
          <w:szCs w:val="20"/>
          <w:lang w:val="ka-GE"/>
        </w:rPr>
        <w:t xml:space="preserve">2021 წლის დეკემბრის </w:t>
      </w:r>
      <w:r w:rsidRPr="000A4D4A">
        <w:rPr>
          <w:rFonts w:ascii="Sylfaen" w:hAnsi="Sylfaen" w:cs="Segoe UI"/>
          <w:sz w:val="20"/>
          <w:szCs w:val="20"/>
          <w:lang w:val="ka-GE"/>
        </w:rPr>
        <w:t xml:space="preserve">პროგნოზის </w:t>
      </w:r>
      <w:r>
        <w:rPr>
          <w:rFonts w:ascii="Sylfaen" w:hAnsi="Sylfaen" w:cs="Segoe UI"/>
          <w:sz w:val="20"/>
          <w:szCs w:val="20"/>
          <w:lang w:val="ka-GE"/>
        </w:rPr>
        <w:t xml:space="preserve">მიხედვით, მსოფლიო რეალური ეკონომიკური ზრდა </w:t>
      </w:r>
      <w:r>
        <w:rPr>
          <w:rFonts w:ascii="Sylfaen" w:hAnsi="Sylfaen" w:cs="Segoe UI"/>
          <w:sz w:val="20"/>
          <w:szCs w:val="20"/>
        </w:rPr>
        <w:t>4.5</w:t>
      </w:r>
      <w:r>
        <w:rPr>
          <w:rFonts w:ascii="Sylfaen" w:hAnsi="Sylfaen" w:cs="Segoe UI"/>
          <w:sz w:val="20"/>
          <w:szCs w:val="20"/>
          <w:lang w:val="ka-GE"/>
        </w:rPr>
        <w:t>%-ზე იყო ნავარაუდევი, თუმცა 2022 წლის ივნისის მონაცემებით</w:t>
      </w:r>
      <w:r w:rsidR="003269C4">
        <w:rPr>
          <w:rFonts w:ascii="Sylfaen" w:hAnsi="Sylfaen" w:cs="Segoe UI"/>
          <w:sz w:val="20"/>
          <w:szCs w:val="20"/>
          <w:lang w:val="ka-GE"/>
        </w:rPr>
        <w:t>,</w:t>
      </w:r>
      <w:r>
        <w:rPr>
          <w:rFonts w:ascii="Sylfaen" w:hAnsi="Sylfaen" w:cs="Segoe UI"/>
          <w:sz w:val="20"/>
          <w:szCs w:val="20"/>
          <w:lang w:val="ka-GE"/>
        </w:rPr>
        <w:t xml:space="preserve"> მოსალოდნელია 3.0%-იანი ზრდა. აღნიშნული გადახედვის მიზეზი რუსეთ-უკრაინის ომი გახდა, რაც განსაკუთრებით ევრო ზონის ეკონომიკურ ზრდაზე მოახდენს მნიშვნელოვან გავლენას. </w:t>
      </w:r>
    </w:p>
    <w:p w:rsidR="00E035F0" w:rsidRPr="002869D4" w:rsidRDefault="00E035F0" w:rsidP="00544F05">
      <w:pPr>
        <w:spacing w:before="240" w:line="276" w:lineRule="auto"/>
        <w:ind w:firstLine="540"/>
        <w:jc w:val="both"/>
        <w:rPr>
          <w:rFonts w:ascii="Sylfaen" w:hAnsi="Sylfaen" w:cs="Segoe UI"/>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7"/>
      </w:tblGrid>
      <w:tr w:rsidR="00190D83" w:rsidTr="00190D83">
        <w:tc>
          <w:tcPr>
            <w:tcW w:w="10427" w:type="dxa"/>
          </w:tcPr>
          <w:p w:rsidR="00190D83" w:rsidRPr="00190D83" w:rsidRDefault="001D70BE" w:rsidP="00544F05">
            <w:pPr>
              <w:pStyle w:val="NoSpacing"/>
              <w:spacing w:before="240" w:line="276" w:lineRule="auto"/>
              <w:rPr>
                <w:rFonts w:eastAsia="+mn-ea" w:cstheme="minorHAnsi"/>
                <w:i/>
                <w:iCs/>
                <w:color w:val="000000"/>
                <w:kern w:val="24"/>
              </w:rPr>
            </w:pPr>
            <w:r w:rsidRPr="000015C9">
              <w:rPr>
                <w:rFonts w:ascii="Sylfaen" w:hAnsi="Sylfaen" w:cs="Sylfaen"/>
              </w:rPr>
              <w:t>დიაგრამა</w:t>
            </w:r>
            <w:r w:rsidRPr="000015C9">
              <w:rPr>
                <w:rFonts w:cstheme="minorHAnsi"/>
              </w:rPr>
              <w:t xml:space="preserve"> 1</w:t>
            </w:r>
            <w:r w:rsidRPr="000015C9">
              <w:rPr>
                <w:rFonts w:cstheme="minorHAnsi"/>
                <w:noProof/>
              </w:rPr>
              <w:t>:</w:t>
            </w:r>
            <w:r w:rsidRPr="000015C9">
              <w:rPr>
                <w:rFonts w:cstheme="minorHAnsi"/>
                <w:lang w:val="ka-GE"/>
              </w:rPr>
              <w:t xml:space="preserve"> </w:t>
            </w:r>
            <w:r w:rsidRPr="000015C9">
              <w:rPr>
                <w:rFonts w:ascii="Sylfaen" w:hAnsi="Sylfaen" w:cs="Sylfaen"/>
                <w:lang w:val="ka-GE"/>
              </w:rPr>
              <w:t>განვითარებული</w:t>
            </w:r>
            <w:r w:rsidRPr="000015C9">
              <w:rPr>
                <w:rFonts w:cstheme="minorHAnsi"/>
                <w:lang w:val="ka-GE"/>
              </w:rPr>
              <w:t xml:space="preserve"> </w:t>
            </w:r>
            <w:r w:rsidRPr="000015C9">
              <w:rPr>
                <w:rFonts w:ascii="Sylfaen" w:hAnsi="Sylfaen" w:cs="Sylfaen"/>
                <w:lang w:val="ka-GE"/>
              </w:rPr>
              <w:t>და</w:t>
            </w:r>
            <w:r w:rsidRPr="000015C9">
              <w:rPr>
                <w:rFonts w:cstheme="minorHAnsi"/>
                <w:lang w:val="ka-GE"/>
              </w:rPr>
              <w:t xml:space="preserve"> </w:t>
            </w:r>
            <w:r w:rsidRPr="000015C9">
              <w:rPr>
                <w:rFonts w:ascii="Sylfaen" w:hAnsi="Sylfaen" w:cs="Sylfaen"/>
                <w:lang w:val="ka-GE"/>
              </w:rPr>
              <w:t>განვითარებადი</w:t>
            </w:r>
            <w:r w:rsidRPr="000015C9">
              <w:rPr>
                <w:rFonts w:cstheme="minorHAnsi"/>
                <w:lang w:val="ka-GE"/>
              </w:rPr>
              <w:t xml:space="preserve"> </w:t>
            </w:r>
            <w:r w:rsidRPr="000015C9">
              <w:rPr>
                <w:rFonts w:ascii="Sylfaen" w:hAnsi="Sylfaen" w:cs="Sylfaen"/>
                <w:lang w:val="ka-GE"/>
              </w:rPr>
              <w:t>ქვეყნების</w:t>
            </w:r>
            <w:r w:rsidRPr="000015C9">
              <w:rPr>
                <w:rFonts w:cstheme="minorHAnsi"/>
                <w:lang w:val="ka-GE"/>
              </w:rPr>
              <w:t xml:space="preserve"> </w:t>
            </w:r>
            <w:r w:rsidRPr="000015C9">
              <w:rPr>
                <w:rFonts w:ascii="Sylfaen" w:hAnsi="Sylfaen" w:cs="Sylfaen"/>
                <w:lang w:val="ka-GE"/>
              </w:rPr>
              <w:t>ეკონომიკური</w:t>
            </w:r>
            <w:r w:rsidRPr="000015C9">
              <w:rPr>
                <w:rFonts w:cstheme="minorHAnsi"/>
                <w:lang w:val="ka-GE"/>
              </w:rPr>
              <w:t xml:space="preserve"> </w:t>
            </w:r>
            <w:r w:rsidRPr="000015C9">
              <w:rPr>
                <w:rFonts w:ascii="Sylfaen" w:hAnsi="Sylfaen" w:cs="Sylfaen"/>
                <w:lang w:val="ka-GE"/>
              </w:rPr>
              <w:t>ზრდის</w:t>
            </w:r>
            <w:r w:rsidRPr="000015C9">
              <w:rPr>
                <w:rFonts w:cstheme="minorHAnsi"/>
                <w:lang w:val="ka-GE"/>
              </w:rPr>
              <w:t xml:space="preserve"> </w:t>
            </w:r>
            <w:r w:rsidRPr="000015C9">
              <w:rPr>
                <w:rFonts w:ascii="Sylfaen" w:hAnsi="Sylfaen" w:cs="Sylfaen"/>
                <w:lang w:val="ka-GE"/>
              </w:rPr>
              <w:t>პროგნოზი</w:t>
            </w:r>
            <w:r w:rsidRPr="000015C9">
              <w:rPr>
                <w:rFonts w:cstheme="minorHAnsi"/>
                <w:lang w:val="ka-GE"/>
              </w:rPr>
              <w:t xml:space="preserve"> 202</w:t>
            </w:r>
            <w:r>
              <w:rPr>
                <w:rFonts w:cstheme="minorHAnsi"/>
              </w:rPr>
              <w:t>2</w:t>
            </w:r>
            <w:r w:rsidRPr="000015C9">
              <w:rPr>
                <w:rFonts w:cstheme="minorHAnsi"/>
                <w:lang w:val="ka-GE"/>
              </w:rPr>
              <w:t>-202</w:t>
            </w:r>
            <w:r>
              <w:rPr>
                <w:rFonts w:cstheme="minorHAnsi"/>
              </w:rPr>
              <w:t>3</w:t>
            </w:r>
            <w:r w:rsidRPr="000015C9">
              <w:rPr>
                <w:rFonts w:cstheme="minorHAnsi"/>
                <w:lang w:val="ka-GE"/>
              </w:rPr>
              <w:t xml:space="preserve"> </w:t>
            </w:r>
            <w:r w:rsidRPr="000015C9">
              <w:rPr>
                <w:rFonts w:ascii="Sylfaen" w:hAnsi="Sylfaen" w:cs="Sylfaen"/>
                <w:lang w:val="ka-GE"/>
              </w:rPr>
              <w:t>წლებისთვის</w:t>
            </w:r>
          </w:p>
        </w:tc>
      </w:tr>
      <w:tr w:rsidR="00190D83" w:rsidTr="00190D83">
        <w:tc>
          <w:tcPr>
            <w:tcW w:w="10427" w:type="dxa"/>
          </w:tcPr>
          <w:p w:rsidR="00190D83" w:rsidRDefault="00BC7174" w:rsidP="00544F05">
            <w:pPr>
              <w:spacing w:before="240" w:line="276" w:lineRule="auto"/>
              <w:jc w:val="both"/>
              <w:rPr>
                <w:rFonts w:ascii="Sylfaen" w:hAnsi="Sylfaen" w:cs="Segoe UI"/>
                <w:sz w:val="20"/>
                <w:szCs w:val="20"/>
                <w:lang w:val="ka-GE"/>
              </w:rPr>
            </w:pPr>
            <w:r>
              <w:rPr>
                <w:noProof/>
              </w:rPr>
              <w:drawing>
                <wp:inline distT="0" distB="0" distL="0" distR="0" wp14:anchorId="28FF6CEC" wp14:editId="6A027405">
                  <wp:extent cx="6249725" cy="2353586"/>
                  <wp:effectExtent l="0" t="0" r="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0D83" w:rsidTr="00190D83">
        <w:tc>
          <w:tcPr>
            <w:tcW w:w="10427" w:type="dxa"/>
          </w:tcPr>
          <w:p w:rsidR="00190D83" w:rsidRPr="0046611A" w:rsidRDefault="0046611A" w:rsidP="00BC7174">
            <w:pPr>
              <w:pStyle w:val="NoSpacing"/>
              <w:spacing w:before="240" w:line="276" w:lineRule="auto"/>
              <w:rPr>
                <w:rFonts w:asciiTheme="majorHAnsi" w:hAnsiTheme="majorHAnsi" w:cstheme="majorHAnsi"/>
                <w:i/>
                <w:iCs/>
                <w:noProof/>
                <w:sz w:val="14"/>
                <w:lang w:val="ka-GE"/>
              </w:rPr>
            </w:pPr>
            <w:r>
              <w:rPr>
                <w:rFonts w:ascii="Sylfaen" w:hAnsi="Sylfaen" w:cs="Sylfaen"/>
                <w:i/>
                <w:sz w:val="14"/>
                <w:lang w:val="ka-GE"/>
              </w:rPr>
              <w:t xml:space="preserve">     </w:t>
            </w:r>
            <w:r w:rsidR="00190D83" w:rsidRPr="0046611A">
              <w:rPr>
                <w:rFonts w:ascii="Sylfaen" w:hAnsi="Sylfaen" w:cs="Sylfaen"/>
                <w:i/>
                <w:sz w:val="14"/>
                <w:lang w:val="ka-GE"/>
              </w:rPr>
              <w:t>წყარო</w:t>
            </w:r>
            <w:r w:rsidR="00190D83" w:rsidRPr="0046611A">
              <w:rPr>
                <w:rFonts w:asciiTheme="majorHAnsi" w:hAnsiTheme="majorHAnsi" w:cstheme="majorHAnsi"/>
                <w:i/>
                <w:sz w:val="14"/>
                <w:lang w:val="ka-GE"/>
              </w:rPr>
              <w:t xml:space="preserve">: </w:t>
            </w:r>
            <w:r w:rsidR="00190D83" w:rsidRPr="0046611A">
              <w:rPr>
                <w:rFonts w:asciiTheme="majorHAnsi" w:hAnsiTheme="majorHAnsi" w:cstheme="majorHAnsi"/>
                <w:i/>
                <w:sz w:val="14"/>
              </w:rPr>
              <w:t xml:space="preserve">IMF, </w:t>
            </w:r>
            <w:r w:rsidR="00BC7174">
              <w:rPr>
                <w:rFonts w:asciiTheme="majorHAnsi" w:hAnsiTheme="majorHAnsi" w:cstheme="majorHAnsi"/>
                <w:i/>
                <w:sz w:val="14"/>
                <w:lang w:val="ka-GE"/>
              </w:rPr>
              <w:t>ოქტომბერი</w:t>
            </w:r>
            <w:r w:rsidR="00190D83" w:rsidRPr="0046611A">
              <w:rPr>
                <w:rFonts w:asciiTheme="majorHAnsi" w:hAnsiTheme="majorHAnsi" w:cstheme="majorHAnsi"/>
                <w:i/>
                <w:sz w:val="14"/>
                <w:lang w:val="ka-GE"/>
              </w:rPr>
              <w:t xml:space="preserve"> 202</w:t>
            </w:r>
            <w:r w:rsidR="003742A3" w:rsidRPr="0046611A">
              <w:rPr>
                <w:rFonts w:asciiTheme="majorHAnsi" w:hAnsiTheme="majorHAnsi" w:cstheme="majorHAnsi"/>
                <w:i/>
                <w:sz w:val="14"/>
                <w:lang w:val="ka-GE"/>
              </w:rPr>
              <w:t>2</w:t>
            </w:r>
          </w:p>
        </w:tc>
      </w:tr>
    </w:tbl>
    <w:p w:rsidR="00190D83" w:rsidRDefault="00190D83" w:rsidP="00544F05">
      <w:pPr>
        <w:spacing w:before="240" w:line="276" w:lineRule="auto"/>
        <w:jc w:val="both"/>
        <w:rPr>
          <w:rFonts w:ascii="Sylfaen" w:hAnsi="Sylfaen" w:cs="Segoe UI"/>
          <w:sz w:val="20"/>
          <w:szCs w:val="20"/>
        </w:rPr>
      </w:pPr>
    </w:p>
    <w:p w:rsidR="00296F3C" w:rsidRPr="000A4D4A" w:rsidRDefault="00296F3C" w:rsidP="00296F3C">
      <w:pPr>
        <w:spacing w:before="240" w:line="276" w:lineRule="auto"/>
        <w:ind w:firstLine="567"/>
        <w:jc w:val="both"/>
        <w:rPr>
          <w:rFonts w:ascii="Sylfaen" w:hAnsi="Sylfaen" w:cs="Segoe UI"/>
          <w:sz w:val="20"/>
          <w:szCs w:val="20"/>
          <w:lang w:val="ka-GE"/>
        </w:rPr>
      </w:pPr>
      <w:r w:rsidRPr="000A4D4A">
        <w:rPr>
          <w:rFonts w:ascii="Sylfaen" w:hAnsi="Sylfaen" w:cs="Segoe UI"/>
          <w:sz w:val="20"/>
          <w:szCs w:val="20"/>
        </w:rPr>
        <w:t>მნიშვნელოვანია, რომ სხვადასხვა ქვეყნების ეკონომიკურ ზრდაზე</w:t>
      </w:r>
      <w:r>
        <w:rPr>
          <w:rFonts w:ascii="Sylfaen" w:hAnsi="Sylfaen" w:cs="Segoe UI"/>
          <w:sz w:val="20"/>
          <w:szCs w:val="20"/>
          <w:lang w:val="ka-GE"/>
        </w:rPr>
        <w:t xml:space="preserve"> პანდემიისა და ომის</w:t>
      </w:r>
      <w:r w:rsidRPr="000A4D4A">
        <w:rPr>
          <w:rFonts w:ascii="Sylfaen" w:hAnsi="Sylfaen" w:cs="Segoe UI"/>
          <w:sz w:val="20"/>
          <w:szCs w:val="20"/>
        </w:rPr>
        <w:t xml:space="preserve"> გავლენა არ არის ერთგვაროვანი. მოწინავე ეკონომიკის მქონე ქვეყნებში,</w:t>
      </w:r>
      <w:r w:rsidRPr="000A4D4A">
        <w:rPr>
          <w:rFonts w:ascii="Sylfaen" w:hAnsi="Sylfaen" w:cs="Segoe UI"/>
          <w:sz w:val="20"/>
          <w:szCs w:val="20"/>
          <w:lang w:val="ka-GE"/>
        </w:rPr>
        <w:t xml:space="preserve"> </w:t>
      </w:r>
      <w:r w:rsidRPr="000A4D4A">
        <w:rPr>
          <w:rFonts w:ascii="Sylfaen" w:hAnsi="Sylfaen" w:cs="Segoe UI"/>
          <w:sz w:val="20"/>
          <w:szCs w:val="20"/>
        </w:rPr>
        <w:t xml:space="preserve">სადაც გლობალიზაციისა და მომსახურების დარგების წილი მაღალია, უფრო მაღალი ეკონომიკური </w:t>
      </w:r>
      <w:r>
        <w:rPr>
          <w:rFonts w:ascii="Sylfaen" w:hAnsi="Sylfaen" w:cs="Segoe UI"/>
          <w:sz w:val="20"/>
          <w:szCs w:val="20"/>
        </w:rPr>
        <w:t>კლება დაფიქსირდა</w:t>
      </w:r>
      <w:r w:rsidR="00647CEE">
        <w:rPr>
          <w:rFonts w:ascii="Sylfaen" w:hAnsi="Sylfaen" w:cs="Segoe UI"/>
          <w:sz w:val="20"/>
          <w:szCs w:val="20"/>
          <w:lang w:val="ka-GE"/>
        </w:rPr>
        <w:t>,</w:t>
      </w:r>
      <w:r w:rsidRPr="000A4D4A">
        <w:rPr>
          <w:rFonts w:ascii="Sylfaen" w:hAnsi="Sylfaen" w:cs="Segoe UI"/>
          <w:sz w:val="20"/>
          <w:szCs w:val="20"/>
        </w:rPr>
        <w:t xml:space="preserve"> ვიდრე განვითარებად ქვეყნებში.</w:t>
      </w:r>
      <w:r>
        <w:rPr>
          <w:rFonts w:ascii="Sylfaen" w:hAnsi="Sylfaen" w:cs="Segoe UI"/>
          <w:sz w:val="20"/>
          <w:szCs w:val="20"/>
          <w:lang w:val="ka-GE"/>
        </w:rPr>
        <w:t xml:space="preserve"> </w:t>
      </w:r>
      <w:r w:rsidRPr="000A4D4A">
        <w:rPr>
          <w:rFonts w:ascii="Sylfaen" w:hAnsi="Sylfaen" w:cs="Segoe UI"/>
          <w:sz w:val="20"/>
          <w:szCs w:val="20"/>
        </w:rPr>
        <w:t xml:space="preserve"> სსფ-ის განახლებული პროგნოზით</w:t>
      </w:r>
      <w:r w:rsidR="00647CEE">
        <w:rPr>
          <w:rFonts w:ascii="Sylfaen" w:hAnsi="Sylfaen" w:cs="Segoe UI"/>
          <w:sz w:val="20"/>
          <w:szCs w:val="20"/>
          <w:lang w:val="ka-GE"/>
        </w:rPr>
        <w:t>,</w:t>
      </w:r>
      <w:r w:rsidRPr="000A4D4A">
        <w:rPr>
          <w:rFonts w:ascii="Sylfaen" w:hAnsi="Sylfaen" w:cs="Segoe UI"/>
          <w:sz w:val="20"/>
          <w:szCs w:val="20"/>
        </w:rPr>
        <w:t xml:space="preserve"> მოწინავე ეკონომიკის ქვეყნების ეკონომიკური ზრდის პროგნოზი </w:t>
      </w:r>
      <w:r>
        <w:rPr>
          <w:rFonts w:ascii="Sylfaen" w:hAnsi="Sylfaen" w:cs="Segoe UI"/>
          <w:sz w:val="20"/>
          <w:szCs w:val="20"/>
          <w:lang w:val="ka-GE"/>
        </w:rPr>
        <w:t>2.4%</w:t>
      </w:r>
      <w:r w:rsidRPr="000A4D4A">
        <w:rPr>
          <w:rFonts w:ascii="Sylfaen" w:hAnsi="Sylfaen" w:cs="Segoe UI"/>
          <w:sz w:val="20"/>
          <w:szCs w:val="20"/>
        </w:rPr>
        <w:t xml:space="preserve">, ხოლო განვითარებადი ქვეყნების </w:t>
      </w:r>
      <w:r>
        <w:rPr>
          <w:rFonts w:ascii="Sylfaen" w:hAnsi="Sylfaen" w:cs="Segoe UI"/>
          <w:sz w:val="20"/>
          <w:szCs w:val="20"/>
          <w:lang w:val="ka-GE"/>
        </w:rPr>
        <w:t>3.7</w:t>
      </w:r>
      <w:r>
        <w:rPr>
          <w:rFonts w:ascii="Sylfaen" w:hAnsi="Sylfaen" w:cs="Segoe UI"/>
          <w:sz w:val="20"/>
          <w:szCs w:val="20"/>
        </w:rPr>
        <w:t>%-</w:t>
      </w:r>
      <w:r w:rsidRPr="000A4D4A">
        <w:rPr>
          <w:rFonts w:ascii="Sylfaen" w:hAnsi="Sylfaen" w:cs="Segoe UI"/>
          <w:sz w:val="20"/>
          <w:szCs w:val="20"/>
        </w:rPr>
        <w:t>ზეა მოსალოდნელი</w:t>
      </w:r>
      <w:r>
        <w:rPr>
          <w:rFonts w:ascii="Sylfaen" w:hAnsi="Sylfaen" w:cs="Segoe UI"/>
          <w:sz w:val="20"/>
          <w:szCs w:val="20"/>
          <w:lang w:val="ka-GE"/>
        </w:rPr>
        <w:t xml:space="preserve"> 2022 წლისათვის</w:t>
      </w:r>
      <w:r w:rsidRPr="000A4D4A">
        <w:rPr>
          <w:rFonts w:ascii="Sylfaen" w:hAnsi="Sylfaen" w:cs="Segoe UI"/>
          <w:sz w:val="20"/>
          <w:szCs w:val="20"/>
        </w:rPr>
        <w:t>.</w:t>
      </w:r>
    </w:p>
    <w:p w:rsidR="000B4EB7" w:rsidRPr="000B4EB7" w:rsidRDefault="000B4EB7" w:rsidP="00544F05">
      <w:pPr>
        <w:spacing w:before="240" w:line="276" w:lineRule="auto"/>
        <w:rPr>
          <w:lang w:val="ka-GE"/>
        </w:rPr>
      </w:pPr>
    </w:p>
    <w:p w:rsidR="000B4EB7" w:rsidRPr="00531C8D" w:rsidRDefault="000B4EB7" w:rsidP="00544F05">
      <w:pPr>
        <w:pStyle w:val="Heading1"/>
        <w:numPr>
          <w:ilvl w:val="0"/>
          <w:numId w:val="4"/>
        </w:numPr>
        <w:spacing w:before="240" w:line="276" w:lineRule="auto"/>
        <w:ind w:left="360" w:hanging="360"/>
        <w:rPr>
          <w:b/>
          <w:bCs w:val="0"/>
          <w:sz w:val="28"/>
          <w:szCs w:val="28"/>
        </w:rPr>
      </w:pPr>
      <w:r w:rsidRPr="00531C8D">
        <w:rPr>
          <w:b/>
          <w:bCs w:val="0"/>
          <w:sz w:val="28"/>
          <w:szCs w:val="28"/>
        </w:rPr>
        <w:t>ეკონომიკური მიმოხილვა</w:t>
      </w:r>
    </w:p>
    <w:p w:rsidR="00296F3C" w:rsidRPr="00931885" w:rsidRDefault="00296F3C" w:rsidP="00296F3C">
      <w:pPr>
        <w:spacing w:before="240" w:line="276" w:lineRule="auto"/>
        <w:ind w:firstLine="567"/>
        <w:jc w:val="both"/>
        <w:rPr>
          <w:rFonts w:ascii="Sylfaen" w:hAnsi="Sylfaen" w:cs="Segoe UI"/>
          <w:sz w:val="20"/>
          <w:szCs w:val="20"/>
        </w:rPr>
      </w:pPr>
      <w:r w:rsidRPr="00296F3C">
        <w:rPr>
          <w:rFonts w:ascii="Sylfaen" w:hAnsi="Sylfaen" w:cs="Segoe UI"/>
          <w:sz w:val="20"/>
          <w:szCs w:val="20"/>
          <w:lang w:val="ka-GE"/>
        </w:rPr>
        <w:t>პანდემიური წლის შემდგომ, 2021 წელს ეკონომიკურმა ზრდამ 10.</w:t>
      </w:r>
      <w:r w:rsidR="00592DE6">
        <w:rPr>
          <w:rFonts w:ascii="Sylfaen" w:hAnsi="Sylfaen" w:cs="Segoe UI"/>
          <w:sz w:val="20"/>
          <w:szCs w:val="20"/>
        </w:rPr>
        <w:t>5</w:t>
      </w:r>
      <w:r w:rsidRPr="00296F3C">
        <w:rPr>
          <w:rFonts w:ascii="Sylfaen" w:hAnsi="Sylfaen" w:cs="Segoe UI"/>
          <w:sz w:val="20"/>
          <w:szCs w:val="20"/>
          <w:lang w:val="ka-GE"/>
        </w:rPr>
        <w:t>% შეადგინა. ორნიშნა ეკონომიკური ზრდა გარკვეულწილად ასევე განპირობებული იყო დაბალი საბაზო ეფექტით,</w:t>
      </w:r>
      <w:r w:rsidRPr="00296F3C">
        <w:rPr>
          <w:rFonts w:ascii="Sylfaen" w:hAnsi="Sylfaen" w:cs="Segoe UI"/>
          <w:sz w:val="20"/>
          <w:szCs w:val="20"/>
        </w:rPr>
        <w:t xml:space="preserve"> </w:t>
      </w:r>
      <w:r w:rsidRPr="00296F3C">
        <w:rPr>
          <w:rFonts w:ascii="Sylfaen" w:hAnsi="Sylfaen" w:cs="Segoe UI"/>
          <w:sz w:val="20"/>
          <w:szCs w:val="20"/>
          <w:lang w:val="ka-GE"/>
        </w:rPr>
        <w:t xml:space="preserve">თუმცა 2019 წელთან შედარებით 2021 წელს ეკონომიკა </w:t>
      </w:r>
      <w:r w:rsidR="00D267E1">
        <w:rPr>
          <w:rFonts w:ascii="Sylfaen" w:hAnsi="Sylfaen" w:cs="Segoe UI"/>
          <w:sz w:val="20"/>
          <w:szCs w:val="20"/>
        </w:rPr>
        <w:t>3.0</w:t>
      </w:r>
      <w:r w:rsidRPr="00296F3C">
        <w:rPr>
          <w:rFonts w:ascii="Sylfaen" w:hAnsi="Sylfaen" w:cs="Segoe UI"/>
          <w:sz w:val="20"/>
          <w:szCs w:val="20"/>
          <w:lang w:val="ka-GE"/>
        </w:rPr>
        <w:t xml:space="preserve">%-ით გაიზარდა, რის შედეგადაც მოხერხდა 2020 წლის ეკონომიკური ვარდნის მთლიანად კონპენსირება, </w:t>
      </w:r>
      <w:r w:rsidRPr="00931885">
        <w:rPr>
          <w:rFonts w:ascii="Sylfaen" w:hAnsi="Sylfaen" w:cs="Segoe UI"/>
          <w:sz w:val="20"/>
          <w:szCs w:val="20"/>
          <w:lang w:val="ka-GE"/>
        </w:rPr>
        <w:t>2019 წლის დონეზე გასვლა და გადაჭარბება. 2022 წლის თებერვალში რუსეთის მიერ უკრაინაში შეჭრის და სრულმასშტაბიანი ომის დაწყების შემდგომ</w:t>
      </w:r>
      <w:r w:rsidRPr="00931885">
        <w:rPr>
          <w:rFonts w:ascii="Sylfaen" w:hAnsi="Sylfaen" w:cs="Segoe UI"/>
          <w:sz w:val="20"/>
          <w:szCs w:val="20"/>
        </w:rPr>
        <w:t>,</w:t>
      </w:r>
      <w:r w:rsidRPr="00931885">
        <w:rPr>
          <w:rFonts w:ascii="Sylfaen" w:hAnsi="Sylfaen" w:cs="Segoe UI"/>
          <w:sz w:val="20"/>
          <w:szCs w:val="20"/>
          <w:lang w:val="ka-GE"/>
        </w:rPr>
        <w:t xml:space="preserve"> საქართველოში გაჩნდა რისკები რიგი უარყოფითი შოკების რეალიზებისა</w:t>
      </w:r>
      <w:r w:rsidR="00DF3250" w:rsidRPr="00931885">
        <w:rPr>
          <w:rFonts w:ascii="Sylfaen" w:hAnsi="Sylfaen" w:cs="Segoe UI"/>
          <w:sz w:val="20"/>
          <w:szCs w:val="20"/>
          <w:lang w:val="ka-GE"/>
        </w:rPr>
        <w:t>. 2022 წლის განმავლობაში ომით გამოწვეული გარკვეულ უარყოფითი რისკების რეალიზებასთან ერთად</w:t>
      </w:r>
      <w:r w:rsidRPr="00931885">
        <w:rPr>
          <w:rFonts w:ascii="Sylfaen" w:hAnsi="Sylfaen" w:cs="Segoe UI"/>
          <w:sz w:val="20"/>
          <w:szCs w:val="20"/>
          <w:lang w:val="ka-GE"/>
        </w:rPr>
        <w:t xml:space="preserve"> </w:t>
      </w:r>
      <w:r w:rsidR="00DF3250" w:rsidRPr="00931885">
        <w:rPr>
          <w:rFonts w:ascii="Sylfaen" w:hAnsi="Sylfaen" w:cs="Segoe UI"/>
          <w:sz w:val="20"/>
          <w:szCs w:val="20"/>
          <w:lang w:val="ka-GE"/>
        </w:rPr>
        <w:t xml:space="preserve">ეკონომიკაში კვლავ გავრძელდა დადებითი ეკონომიკური ზრდის დინამიკა, </w:t>
      </w:r>
      <w:r w:rsidR="00931885" w:rsidRPr="00931885">
        <w:rPr>
          <w:rFonts w:ascii="Sylfaen" w:hAnsi="Sylfaen" w:cs="Segoe UI"/>
          <w:sz w:val="20"/>
          <w:szCs w:val="20"/>
          <w:lang w:val="ka-GE"/>
        </w:rPr>
        <w:t>სწრაფი ტემპებით აღდგა ტურიზმის სექტორი</w:t>
      </w:r>
      <w:r w:rsidR="00931885" w:rsidRPr="00931885">
        <w:rPr>
          <w:rFonts w:ascii="Sylfaen" w:hAnsi="Sylfaen" w:cs="Segoe UI"/>
          <w:sz w:val="20"/>
          <w:szCs w:val="20"/>
        </w:rPr>
        <w:t xml:space="preserve">, </w:t>
      </w:r>
      <w:r w:rsidRPr="00931885">
        <w:rPr>
          <w:rFonts w:ascii="Sylfaen" w:hAnsi="Sylfaen" w:cs="Segoe UI"/>
          <w:sz w:val="20"/>
          <w:szCs w:val="20"/>
          <w:lang w:val="ka-GE"/>
        </w:rPr>
        <w:t>საგრძნობლად გაიზარდა</w:t>
      </w:r>
      <w:r w:rsidR="00931885" w:rsidRPr="00931885">
        <w:rPr>
          <w:rFonts w:ascii="Sylfaen" w:hAnsi="Sylfaen" w:cs="Segoe UI"/>
          <w:sz w:val="20"/>
          <w:szCs w:val="20"/>
        </w:rPr>
        <w:t xml:space="preserve"> </w:t>
      </w:r>
      <w:r w:rsidR="00931885" w:rsidRPr="00931885">
        <w:rPr>
          <w:rFonts w:ascii="Sylfaen" w:hAnsi="Sylfaen" w:cs="Segoe UI"/>
          <w:sz w:val="20"/>
          <w:szCs w:val="20"/>
          <w:lang w:val="ka-GE"/>
        </w:rPr>
        <w:t>ექსპორტი, ასევე</w:t>
      </w:r>
      <w:r w:rsidRPr="00931885">
        <w:rPr>
          <w:rFonts w:ascii="Sylfaen" w:hAnsi="Sylfaen" w:cs="Segoe UI"/>
          <w:sz w:val="20"/>
          <w:szCs w:val="20"/>
          <w:lang w:val="ka-GE"/>
        </w:rPr>
        <w:t xml:space="preserve"> ფულადი გადმორიცხვები</w:t>
      </w:r>
      <w:r w:rsidR="00931885" w:rsidRPr="00931885">
        <w:rPr>
          <w:rFonts w:ascii="Sylfaen" w:hAnsi="Sylfaen" w:cs="Segoe UI"/>
          <w:sz w:val="20"/>
          <w:szCs w:val="20"/>
          <w:lang w:val="ka-GE"/>
        </w:rPr>
        <w:t xml:space="preserve">, </w:t>
      </w:r>
      <w:r w:rsidRPr="00931885">
        <w:rPr>
          <w:rFonts w:ascii="Sylfaen" w:hAnsi="Sylfaen" w:cs="Segoe UI"/>
          <w:sz w:val="20"/>
          <w:szCs w:val="20"/>
          <w:lang w:val="ka-GE"/>
        </w:rPr>
        <w:t xml:space="preserve">რამაც კერძო მოხმარების ხარჯზე ეკონომიკური ზრდა დააჩქარა. შედეგად,  2022 წლის პირველ </w:t>
      </w:r>
      <w:r w:rsidR="00CE7D75" w:rsidRPr="00931885">
        <w:rPr>
          <w:rFonts w:ascii="Sylfaen" w:hAnsi="Sylfaen" w:cs="Segoe UI"/>
          <w:sz w:val="20"/>
          <w:szCs w:val="20"/>
          <w:lang w:val="ka-GE"/>
        </w:rPr>
        <w:t>ათ</w:t>
      </w:r>
      <w:r w:rsidRPr="00931885">
        <w:rPr>
          <w:rFonts w:ascii="Sylfaen" w:hAnsi="Sylfaen" w:cs="Segoe UI"/>
          <w:sz w:val="20"/>
          <w:szCs w:val="20"/>
          <w:lang w:val="ka-GE"/>
        </w:rPr>
        <w:t xml:space="preserve"> თვეში</w:t>
      </w:r>
      <w:r w:rsidR="00647CEE" w:rsidRPr="00931885">
        <w:rPr>
          <w:rFonts w:ascii="Sylfaen" w:hAnsi="Sylfaen" w:cs="Segoe UI"/>
          <w:sz w:val="20"/>
          <w:szCs w:val="20"/>
          <w:lang w:val="ka-GE"/>
        </w:rPr>
        <w:t>,</w:t>
      </w:r>
      <w:r w:rsidRPr="00931885">
        <w:rPr>
          <w:rFonts w:ascii="Sylfaen" w:hAnsi="Sylfaen" w:cs="Segoe UI"/>
          <w:sz w:val="20"/>
          <w:szCs w:val="20"/>
          <w:lang w:val="ka-GE"/>
        </w:rPr>
        <w:t xml:space="preserve"> წინასწარი მონაცემებით,  ეკონომიკურმა ზრდამ </w:t>
      </w:r>
      <w:r w:rsidR="00CE7D75" w:rsidRPr="00931885">
        <w:rPr>
          <w:rFonts w:ascii="Sylfaen" w:hAnsi="Sylfaen" w:cs="Segoe UI"/>
          <w:sz w:val="20"/>
          <w:szCs w:val="20"/>
          <w:lang w:val="ka-GE"/>
        </w:rPr>
        <w:t>10.0</w:t>
      </w:r>
      <w:r w:rsidRPr="00931885">
        <w:rPr>
          <w:rFonts w:ascii="Sylfaen" w:hAnsi="Sylfaen" w:cs="Segoe UI"/>
          <w:sz w:val="20"/>
          <w:szCs w:val="20"/>
          <w:lang w:val="ka-GE"/>
        </w:rPr>
        <w:t xml:space="preserve">% შეადგინა. ყოველივე ამის გათვალისწინებით, სხვა თანაბარ პირობებში, 2022 წელს მოსალოდნელია </w:t>
      </w:r>
      <w:r w:rsidR="00E74571" w:rsidRPr="00931885">
        <w:rPr>
          <w:rFonts w:ascii="Sylfaen" w:hAnsi="Sylfaen" w:cs="Segoe UI"/>
          <w:sz w:val="20"/>
          <w:szCs w:val="20"/>
          <w:lang w:val="ka-GE"/>
        </w:rPr>
        <w:t>10.0</w:t>
      </w:r>
      <w:r w:rsidRPr="00931885">
        <w:rPr>
          <w:rFonts w:ascii="Sylfaen" w:hAnsi="Sylfaen" w:cs="Segoe UI"/>
          <w:sz w:val="20"/>
          <w:szCs w:val="20"/>
          <w:lang w:val="ka-GE"/>
        </w:rPr>
        <w:t>%-იანი ეკონომიკური ზრდა.</w:t>
      </w:r>
    </w:p>
    <w:p w:rsidR="00296F3C" w:rsidRPr="00296F3C" w:rsidRDefault="00296F3C" w:rsidP="00296F3C">
      <w:pPr>
        <w:spacing w:before="240" w:line="276" w:lineRule="auto"/>
        <w:ind w:firstLine="567"/>
        <w:jc w:val="both"/>
        <w:rPr>
          <w:rFonts w:ascii="Sylfaen" w:hAnsi="Sylfaen" w:cs="Segoe UI"/>
          <w:sz w:val="20"/>
          <w:szCs w:val="20"/>
        </w:rPr>
      </w:pPr>
      <w:r w:rsidRPr="00296F3C">
        <w:rPr>
          <w:rFonts w:ascii="Sylfaen" w:hAnsi="Sylfaen" w:cs="Segoe UI"/>
          <w:sz w:val="20"/>
          <w:szCs w:val="20"/>
          <w:lang w:val="ka-GE"/>
        </w:rPr>
        <w:t>საქართველოს ეკონომიკისთვის პანდემიამ ერთი მხრივ იმოქმედა ერთობლივი მოთხოვნის მხარეს ტურისტული მომსახურების ექსპორტის კლების, ხოლო მეორე მხრივ, მობილობის შემცირების მიმართულებით. აღნიშნულის გამო შეფერხდა სამომხმარებლო პროდუქტების მიწოდების არხები, რამაც პანდემიურ 2020 და 2021 წლებში ინფლაცია 5.2% და 9.6%-მდე გაზარდა.  2021 წელს არსებული კომუნალური გადასახდების სუბსიდირების საბაზისო ეფექტის გამო 2022 წლის დასაწყისში მოსალოდნელი იყო მაღალი ინფლაცია,  მარტიდან კი არსებობდა  ინფლაციის შემცირებისა და მიზნობრივ მაჩვენებელთან დაახლოების მოლოდინი, მაგრამ  რუსეთ-უკრაინის ომის შედეგად მსოფლიო ბაზრებზე გაიზარდა სურსათისა და ნავთობპროდუქტების ფასები, რამაც საშუალება არ მისცა ინფლაციას მკვეთრად შემცირებულიყო, ამ ყველაფერს თან დაერთო გაზრდილი შიდა მოთხოვნა, რამაც ინფლაციის კიდევ უფრო ზრდას შეუწყო ხელი.  ინფლაციამ პიკს მაისში მიაღწია 13.3%-იანი მაჩვენებლით, რის შემდგომაც მან შემცირება დაიწყო და კვლავ  განაგრძობს კლებას,  ასევე აღსანიშნავია ისიც, რომ ოქტომბერში სეზონურად მოსწორებული თვიური ანუალიზებული ინფლაცია წინა თვესთან შედარებით 2.7 პროცენტი იყო. წლიურ ინფლაციაზე აღმავალი ზეწოლა დამოკიდებულია მსოფლიო სასოფლო-სამეურნეო ბაზრებზე გაზრდილი ფასებსა (მათ შორის ნავთობის ფასები) და ასევე გაცვლითი კურსის გაუფასურებაზე, რაც ზრდის ინფლაციის მაჩვენებელზე იმპორტული საქონლისა და სურსათის ფასების გავლენას. აღნიშნული ფაქტორების გათვალისწინებით, მოსალოდნელია, რომ 2022 წლის განმავლობაში საშუალო ინფლაცია იქნება მიზნობრივ მაჩვენებელზე მაღალი და საბაზო სცენარით გაუტოლდება 11.</w:t>
      </w:r>
      <w:r w:rsidR="00A66DAC">
        <w:rPr>
          <w:rFonts w:ascii="Sylfaen" w:hAnsi="Sylfaen" w:cs="Segoe UI"/>
          <w:sz w:val="20"/>
          <w:szCs w:val="20"/>
          <w:lang w:val="ka-GE"/>
        </w:rPr>
        <w:t>9</w:t>
      </w:r>
      <w:r w:rsidRPr="00296F3C">
        <w:rPr>
          <w:rFonts w:ascii="Sylfaen" w:hAnsi="Sylfaen" w:cs="Segoe UI"/>
          <w:sz w:val="20"/>
          <w:szCs w:val="20"/>
          <w:lang w:val="ka-GE"/>
        </w:rPr>
        <w:t xml:space="preserve">%-ს, ხოლო 2023 წლის განმავლობაში იგი თანდათან დაუახლოვდება 3%-იან მიზნობრივ მაჩვენებელს და საშუალოდ </w:t>
      </w:r>
      <w:r w:rsidR="00E74571">
        <w:rPr>
          <w:rFonts w:ascii="Sylfaen" w:hAnsi="Sylfaen" w:cs="Segoe UI"/>
          <w:sz w:val="20"/>
          <w:szCs w:val="20"/>
          <w:lang w:val="ka-GE"/>
        </w:rPr>
        <w:t>5.3</w:t>
      </w:r>
      <w:r w:rsidRPr="00296F3C">
        <w:rPr>
          <w:rFonts w:ascii="Sylfaen" w:hAnsi="Sylfaen" w:cs="Segoe UI"/>
          <w:sz w:val="20"/>
          <w:szCs w:val="20"/>
          <w:lang w:val="ka-GE"/>
        </w:rPr>
        <w:t>% შეადგენს.</w:t>
      </w:r>
    </w:p>
    <w:p w:rsidR="00D73B98" w:rsidRDefault="00D73B98" w:rsidP="00544F05">
      <w:pPr>
        <w:spacing w:before="240" w:after="0" w:line="276" w:lineRule="auto"/>
        <w:jc w:val="center"/>
        <w:rPr>
          <w:rFonts w:ascii="Sylfaen" w:hAnsi="Sylfaen" w:cs="Segoe UI"/>
          <w:sz w:val="20"/>
          <w:szCs w:val="20"/>
        </w:rPr>
      </w:pPr>
      <w:r w:rsidRPr="00D73B98">
        <w:rPr>
          <w:rFonts w:ascii="Sylfaen" w:hAnsi="Sylfaen" w:cs="Segoe UI"/>
          <w:sz w:val="20"/>
          <w:szCs w:val="20"/>
          <w:lang w:val="ka-GE"/>
        </w:rPr>
        <w:t>დიაგრამა 2: ინლფაციის დინამიკა, 202</w:t>
      </w:r>
      <w:r w:rsidR="00947C0C">
        <w:rPr>
          <w:rFonts w:ascii="Sylfaen" w:hAnsi="Sylfaen" w:cs="Segoe UI"/>
          <w:sz w:val="20"/>
          <w:szCs w:val="20"/>
        </w:rPr>
        <w:t>2</w:t>
      </w:r>
    </w:p>
    <w:p w:rsidR="00296F3C" w:rsidRDefault="0046611A" w:rsidP="00544F05">
      <w:pPr>
        <w:pStyle w:val="Caption"/>
        <w:spacing w:before="240" w:line="276" w:lineRule="auto"/>
        <w:rPr>
          <w:rFonts w:ascii="Sylfaen" w:hAnsi="Sylfaen" w:cs="Sylfaen"/>
          <w:iCs w:val="0"/>
          <w:sz w:val="14"/>
          <w:lang w:val="ka-GE"/>
        </w:rPr>
      </w:pPr>
      <w:r w:rsidRPr="0046611A">
        <w:rPr>
          <w:rFonts w:ascii="Sylfaen" w:hAnsi="Sylfaen" w:cs="Sylfaen"/>
          <w:iCs w:val="0"/>
          <w:sz w:val="14"/>
          <w:lang w:val="ka-GE"/>
        </w:rPr>
        <w:t xml:space="preserve">  </w:t>
      </w:r>
      <w:r w:rsidR="00296F3C">
        <w:rPr>
          <w:noProof/>
        </w:rPr>
        <w:drawing>
          <wp:anchor distT="0" distB="0" distL="114300" distR="114300" simplePos="0" relativeHeight="251698176" behindDoc="0" locked="0" layoutInCell="1" allowOverlap="1" wp14:anchorId="40CF9A35" wp14:editId="775BC1F6">
            <wp:simplePos x="0" y="0"/>
            <wp:positionH relativeFrom="column">
              <wp:posOffset>0</wp:posOffset>
            </wp:positionH>
            <wp:positionV relativeFrom="paragraph">
              <wp:posOffset>419100</wp:posOffset>
            </wp:positionV>
            <wp:extent cx="6627495" cy="2723515"/>
            <wp:effectExtent l="0" t="0" r="1905" b="635"/>
            <wp:wrapSquare wrapText="bothSides"/>
            <wp:docPr id="9" name="Chart 9">
              <a:extLst xmlns:a="http://schemas.openxmlformats.org/drawingml/2006/main">
                <a:ext uri="{FF2B5EF4-FFF2-40B4-BE49-F238E27FC236}">
                  <a16:creationId xmlns:a16="http://schemas.microsoft.com/office/drawing/2014/main" id="{7C5425A1-5445-4A53-8E48-2570672930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73B98" w:rsidRPr="0046611A" w:rsidRDefault="0046611A" w:rsidP="00544F05">
      <w:pPr>
        <w:pStyle w:val="Caption"/>
        <w:spacing w:before="240" w:line="276" w:lineRule="auto"/>
        <w:rPr>
          <w:rFonts w:ascii="Sylfaen" w:hAnsi="Sylfaen" w:cs="Sylfaen"/>
          <w:iCs w:val="0"/>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საქსტატი</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rsidR="00947C0C" w:rsidRDefault="00947C0C" w:rsidP="00544F05">
      <w:pPr>
        <w:spacing w:before="240" w:line="276" w:lineRule="auto"/>
        <w:rPr>
          <w:lang w:val="ka-GE"/>
        </w:rPr>
      </w:pPr>
    </w:p>
    <w:p w:rsidR="001135F7" w:rsidRDefault="001135F7" w:rsidP="00544F05">
      <w:pPr>
        <w:spacing w:before="240" w:line="276" w:lineRule="auto"/>
        <w:rPr>
          <w:lang w:val="ka-GE"/>
        </w:rPr>
      </w:pPr>
    </w:p>
    <w:p w:rsidR="00296F3C" w:rsidRDefault="00296F3C" w:rsidP="00544F05">
      <w:pPr>
        <w:spacing w:before="240" w:line="276" w:lineRule="auto"/>
        <w:rPr>
          <w:lang w:val="ka-GE"/>
        </w:rPr>
      </w:pPr>
    </w:p>
    <w:p w:rsidR="00296F3C" w:rsidRDefault="00296F3C" w:rsidP="00544F05">
      <w:pPr>
        <w:spacing w:before="240" w:line="276" w:lineRule="auto"/>
        <w:rPr>
          <w:lang w:val="ka-GE"/>
        </w:rPr>
      </w:pPr>
    </w:p>
    <w:p w:rsidR="00FA23BD" w:rsidRDefault="00FA23BD" w:rsidP="00544F05">
      <w:pPr>
        <w:spacing w:before="240" w:line="276" w:lineRule="auto"/>
        <w:rPr>
          <w:lang w:val="ka-GE"/>
        </w:rPr>
      </w:pPr>
    </w:p>
    <w:p w:rsidR="001135F7" w:rsidRDefault="001135F7" w:rsidP="00544F05">
      <w:pPr>
        <w:spacing w:before="240" w:line="276" w:lineRule="auto"/>
        <w:rPr>
          <w:lang w:val="ka-GE"/>
        </w:rPr>
      </w:pPr>
    </w:p>
    <w:p w:rsidR="00D73B98" w:rsidRPr="00D73B98" w:rsidRDefault="00D73B98" w:rsidP="00544F05">
      <w:pPr>
        <w:spacing w:before="240" w:after="0" w:line="276" w:lineRule="auto"/>
        <w:rPr>
          <w:rFonts w:ascii="Sylfaen" w:hAnsi="Sylfaen" w:cs="Segoe UI"/>
          <w:sz w:val="20"/>
          <w:szCs w:val="20"/>
          <w:lang w:val="ka-GE"/>
        </w:rPr>
      </w:pPr>
      <w:r w:rsidRPr="00D73B98">
        <w:rPr>
          <w:rFonts w:ascii="Sylfaen" w:hAnsi="Sylfaen" w:cs="Segoe UI"/>
          <w:sz w:val="20"/>
          <w:szCs w:val="20"/>
          <w:lang w:val="ka-GE"/>
        </w:rPr>
        <w:t>დიაგრამა 3: ეკონომიკური ზრდა, 202</w:t>
      </w:r>
      <w:r w:rsidR="00947C0C">
        <w:rPr>
          <w:rFonts w:ascii="Sylfaen" w:hAnsi="Sylfaen" w:cs="Segoe UI"/>
          <w:sz w:val="20"/>
          <w:szCs w:val="20"/>
        </w:rPr>
        <w:t>2</w:t>
      </w:r>
    </w:p>
    <w:p w:rsidR="00296F3C" w:rsidRDefault="0046611A" w:rsidP="00544F05">
      <w:pPr>
        <w:spacing w:before="240" w:after="0" w:line="276" w:lineRule="auto"/>
        <w:rPr>
          <w:rFonts w:ascii="Sylfaen" w:hAnsi="Sylfaen" w:cs="Sylfaen"/>
          <w:i/>
          <w:iCs/>
          <w:sz w:val="14"/>
          <w:lang w:val="ka-GE"/>
        </w:rPr>
      </w:pPr>
      <w:r>
        <w:rPr>
          <w:rFonts w:ascii="Sylfaen" w:hAnsi="Sylfaen" w:cs="Sylfaen"/>
          <w:i/>
          <w:iCs/>
          <w:sz w:val="14"/>
          <w:lang w:val="ka-GE"/>
        </w:rPr>
        <w:t xml:space="preserve">   </w:t>
      </w:r>
    </w:p>
    <w:p w:rsidR="00CE7D75" w:rsidRDefault="00CE7D75" w:rsidP="00544F05">
      <w:pPr>
        <w:spacing w:before="240" w:after="0" w:line="276" w:lineRule="auto"/>
        <w:rPr>
          <w:rFonts w:ascii="Sylfaen" w:hAnsi="Sylfaen" w:cs="Sylfaen"/>
          <w:i/>
          <w:iCs/>
          <w:sz w:val="14"/>
          <w:lang w:val="ka-GE"/>
        </w:rPr>
      </w:pPr>
      <w:r>
        <w:rPr>
          <w:noProof/>
        </w:rPr>
        <w:drawing>
          <wp:inline distT="0" distB="0" distL="0" distR="0" wp14:anchorId="5A7C8D04" wp14:editId="17F37419">
            <wp:extent cx="6627495" cy="3011805"/>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3B98" w:rsidRDefault="0046611A" w:rsidP="00544F05">
      <w:pPr>
        <w:spacing w:before="240" w:after="0" w:line="276" w:lineRule="auto"/>
        <w:rPr>
          <w:rFonts w:asciiTheme="majorHAnsi" w:hAnsiTheme="majorHAnsi" w:cstheme="majorHAnsi"/>
          <w:i/>
          <w:iCs/>
          <w:noProof/>
          <w:sz w:val="14"/>
          <w:lang w:val="ka-GE"/>
        </w:rPr>
      </w:pPr>
      <w:r>
        <w:rPr>
          <w:rFonts w:ascii="Sylfaen" w:hAnsi="Sylfaen" w:cs="Sylfaen"/>
          <w:i/>
          <w:iCs/>
          <w:sz w:val="14"/>
          <w:lang w:val="ka-GE"/>
        </w:rPr>
        <w:t xml:space="preserve">  </w:t>
      </w:r>
      <w:r w:rsidR="00D73B98">
        <w:rPr>
          <w:rFonts w:ascii="Sylfaen" w:hAnsi="Sylfaen" w:cs="Sylfaen"/>
          <w:i/>
          <w:iCs/>
          <w:sz w:val="14"/>
          <w:lang w:val="ka-GE"/>
        </w:rPr>
        <w:t>წყარო</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საქსტატი</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საქართველოს</w:t>
      </w:r>
      <w:r w:rsidR="00D73B98">
        <w:rPr>
          <w:rFonts w:asciiTheme="majorHAnsi" w:hAnsiTheme="majorHAnsi" w:cstheme="majorHAnsi"/>
          <w:i/>
          <w:iCs/>
          <w:sz w:val="14"/>
          <w:lang w:val="ka-GE"/>
        </w:rPr>
        <w:t xml:space="preserve"> </w:t>
      </w:r>
      <w:r w:rsidR="00D73B98">
        <w:rPr>
          <w:rFonts w:ascii="Sylfaen" w:hAnsi="Sylfaen" w:cs="Sylfaen"/>
          <w:i/>
          <w:iCs/>
          <w:sz w:val="14"/>
          <w:lang w:val="ka-GE"/>
        </w:rPr>
        <w:t>ფინანსთა</w:t>
      </w:r>
      <w:r w:rsidR="00D73B98">
        <w:rPr>
          <w:rFonts w:asciiTheme="majorHAnsi" w:hAnsiTheme="majorHAnsi" w:cstheme="majorHAnsi"/>
          <w:i/>
          <w:iCs/>
          <w:sz w:val="14"/>
          <w:lang w:val="ka-GE"/>
        </w:rPr>
        <w:t xml:space="preserve"> </w:t>
      </w:r>
      <w:r w:rsidR="00D73B98">
        <w:rPr>
          <w:rFonts w:ascii="Sylfaen" w:hAnsi="Sylfaen" w:cs="Sylfaen"/>
          <w:i/>
          <w:iCs/>
          <w:sz w:val="14"/>
          <w:lang w:val="ka-GE"/>
        </w:rPr>
        <w:t>სამინისტრო</w:t>
      </w:r>
    </w:p>
    <w:p w:rsidR="00A36E5C" w:rsidRPr="00D73B98" w:rsidRDefault="00A36E5C" w:rsidP="00A36E5C">
      <w:pPr>
        <w:spacing w:before="240" w:line="276" w:lineRule="auto"/>
        <w:ind w:firstLine="567"/>
        <w:jc w:val="both"/>
        <w:rPr>
          <w:rFonts w:ascii="Sylfaen" w:hAnsi="Sylfaen" w:cs="Segoe UI"/>
          <w:sz w:val="20"/>
          <w:szCs w:val="20"/>
        </w:rPr>
      </w:pPr>
      <w:r w:rsidRPr="003C71A4">
        <w:rPr>
          <w:rFonts w:ascii="Sylfaen" w:hAnsi="Sylfaen" w:cs="Segoe UI"/>
          <w:sz w:val="20"/>
          <w:szCs w:val="20"/>
          <w:lang w:val="ka-GE"/>
        </w:rPr>
        <w:t xml:space="preserve">ნომინალური და რეალური ეფექტური გაცვლითი კურსები 2021 წლის გამყარების ტენდენციას 2022 წელსაც ინარჩუნებენ. კერძოდ, </w:t>
      </w:r>
      <w:r>
        <w:rPr>
          <w:rFonts w:ascii="Sylfaen" w:hAnsi="Sylfaen" w:cs="Segoe UI"/>
          <w:sz w:val="20"/>
          <w:szCs w:val="20"/>
        </w:rPr>
        <w:t>ოქტომბრის</w:t>
      </w:r>
      <w:r w:rsidRPr="003C71A4">
        <w:rPr>
          <w:rFonts w:ascii="Sylfaen" w:hAnsi="Sylfaen" w:cs="Segoe UI"/>
          <w:sz w:val="20"/>
          <w:szCs w:val="20"/>
          <w:lang w:val="ka-GE"/>
        </w:rPr>
        <w:t xml:space="preserve"> ნომინალური ეფექტური გაცლითი კურსი წინა წლის შესაბამის პერიოდთან შედარებით 3</w:t>
      </w:r>
      <w:r>
        <w:rPr>
          <w:rFonts w:ascii="Sylfaen" w:hAnsi="Sylfaen" w:cs="Segoe UI"/>
          <w:sz w:val="20"/>
          <w:szCs w:val="20"/>
        </w:rPr>
        <w:t>4.0</w:t>
      </w:r>
      <w:r w:rsidRPr="003C71A4">
        <w:rPr>
          <w:rFonts w:ascii="Sylfaen" w:hAnsi="Sylfaen" w:cs="Segoe UI"/>
          <w:sz w:val="20"/>
          <w:szCs w:val="20"/>
          <w:lang w:val="ka-GE"/>
        </w:rPr>
        <w:t xml:space="preserve">%-ით გამყარდა, ხოლო წინა თვესთან შედარებით ზრდამ (გამყარებამ) </w:t>
      </w:r>
      <w:r>
        <w:rPr>
          <w:rFonts w:ascii="Sylfaen" w:hAnsi="Sylfaen" w:cs="Segoe UI"/>
          <w:sz w:val="20"/>
          <w:szCs w:val="20"/>
          <w:lang w:val="ka-GE"/>
        </w:rPr>
        <w:t>3</w:t>
      </w:r>
      <w:r w:rsidR="00A66DAC">
        <w:rPr>
          <w:rFonts w:ascii="Sylfaen" w:hAnsi="Sylfaen" w:cs="Segoe UI"/>
          <w:sz w:val="20"/>
          <w:szCs w:val="20"/>
          <w:lang w:val="ka-GE"/>
        </w:rPr>
        <w:t>.</w:t>
      </w:r>
      <w:r>
        <w:rPr>
          <w:rFonts w:ascii="Sylfaen" w:hAnsi="Sylfaen" w:cs="Segoe UI"/>
          <w:sz w:val="20"/>
          <w:szCs w:val="20"/>
          <w:lang w:val="ka-GE"/>
        </w:rPr>
        <w:t>6</w:t>
      </w:r>
      <w:r w:rsidRPr="003C71A4">
        <w:rPr>
          <w:rFonts w:ascii="Sylfaen" w:hAnsi="Sylfaen" w:cs="Segoe UI"/>
          <w:sz w:val="20"/>
          <w:szCs w:val="20"/>
          <w:lang w:val="ka-GE"/>
        </w:rPr>
        <w:t xml:space="preserve">% შეადგინა. </w:t>
      </w:r>
      <w:r>
        <w:rPr>
          <w:rFonts w:ascii="Sylfaen" w:hAnsi="Sylfaen" w:cs="Segoe UI"/>
          <w:sz w:val="20"/>
          <w:szCs w:val="20"/>
          <w:lang w:val="ka-GE"/>
        </w:rPr>
        <w:t>ოქტომბრის</w:t>
      </w:r>
      <w:r w:rsidRPr="003C71A4">
        <w:rPr>
          <w:rFonts w:ascii="Sylfaen" w:hAnsi="Sylfaen" w:cs="Segoe UI"/>
          <w:sz w:val="20"/>
          <w:szCs w:val="20"/>
          <w:lang w:val="ka-GE"/>
        </w:rPr>
        <w:t xml:space="preserve"> რეალური ეფექტური გაცვლით კურსის წლიურმა გამყარებამ </w:t>
      </w:r>
      <w:r>
        <w:rPr>
          <w:rFonts w:ascii="Sylfaen" w:hAnsi="Sylfaen" w:cs="Segoe UI"/>
          <w:sz w:val="20"/>
          <w:szCs w:val="20"/>
          <w:lang w:val="ka-GE"/>
        </w:rPr>
        <w:t>20</w:t>
      </w:r>
      <w:r w:rsidRPr="003C71A4">
        <w:rPr>
          <w:rFonts w:ascii="Sylfaen" w:hAnsi="Sylfaen" w:cs="Segoe UI"/>
          <w:sz w:val="20"/>
          <w:szCs w:val="20"/>
          <w:lang w:val="ka-GE"/>
        </w:rPr>
        <w:t>.</w:t>
      </w:r>
      <w:r>
        <w:rPr>
          <w:rFonts w:ascii="Sylfaen" w:hAnsi="Sylfaen" w:cs="Segoe UI"/>
          <w:sz w:val="20"/>
          <w:szCs w:val="20"/>
          <w:lang w:val="ka-GE"/>
        </w:rPr>
        <w:t>9</w:t>
      </w:r>
      <w:r w:rsidRPr="003C71A4">
        <w:rPr>
          <w:rFonts w:ascii="Sylfaen" w:hAnsi="Sylfaen" w:cs="Segoe UI"/>
          <w:sz w:val="20"/>
          <w:szCs w:val="20"/>
          <w:lang w:val="ka-GE"/>
        </w:rPr>
        <w:t xml:space="preserve">% შეადგინა, ხოლო წინა თვესთან შედარებით ზრდა  </w:t>
      </w:r>
      <w:r>
        <w:rPr>
          <w:rFonts w:ascii="Sylfaen" w:hAnsi="Sylfaen" w:cs="Segoe UI"/>
          <w:sz w:val="20"/>
          <w:szCs w:val="20"/>
          <w:lang w:val="ka-GE"/>
        </w:rPr>
        <w:t>2</w:t>
      </w:r>
      <w:r w:rsidRPr="003C71A4">
        <w:rPr>
          <w:rFonts w:ascii="Sylfaen" w:hAnsi="Sylfaen" w:cs="Segoe UI"/>
          <w:sz w:val="20"/>
          <w:szCs w:val="20"/>
          <w:lang w:val="ka-GE"/>
        </w:rPr>
        <w:t>.</w:t>
      </w:r>
      <w:r>
        <w:rPr>
          <w:rFonts w:ascii="Sylfaen" w:hAnsi="Sylfaen" w:cs="Segoe UI"/>
          <w:sz w:val="20"/>
          <w:szCs w:val="20"/>
          <w:lang w:val="ka-GE"/>
        </w:rPr>
        <w:t>6</w:t>
      </w:r>
      <w:r w:rsidRPr="003C71A4">
        <w:rPr>
          <w:rFonts w:ascii="Sylfaen" w:hAnsi="Sylfaen" w:cs="Segoe UI"/>
          <w:sz w:val="20"/>
          <w:szCs w:val="20"/>
          <w:lang w:val="ka-GE"/>
        </w:rPr>
        <w:t>% იყო. გაცვლითი კურსის მეტად გამყარება ნაკლებად მოსალოდნელია, ვინაიდან ორივე მაჩვენებელი თავის საშუალოვადიან ტრენდს საგრძნობლად აღემატება, ასევე ნაკლებად სავარაუდოა გაცვლითი კურსის მკვეთრი გაუფასურება, რაც რუსეთ-უკრაინას შორის ომის საწყის ეტაპზე შეინიშნებოდა. გაცვლით კურსის აღნიშნული დონე და დინამიკა დადებითად აისახება ინფლაციის მაჩვენებელზე.</w:t>
      </w:r>
      <w:r>
        <w:rPr>
          <w:rFonts w:ascii="Sylfaen" w:hAnsi="Sylfaen" w:cs="Segoe UI"/>
          <w:sz w:val="20"/>
          <w:szCs w:val="20"/>
          <w:lang w:val="ka-GE"/>
        </w:rPr>
        <w:t xml:space="preserve">  </w:t>
      </w:r>
    </w:p>
    <w:p w:rsidR="00A36E5C" w:rsidRPr="00D73B98" w:rsidRDefault="00A36E5C" w:rsidP="00A36E5C">
      <w:pPr>
        <w:spacing w:before="240" w:line="276" w:lineRule="auto"/>
        <w:ind w:firstLine="567"/>
        <w:jc w:val="both"/>
        <w:rPr>
          <w:rFonts w:ascii="Sylfaen" w:hAnsi="Sylfaen" w:cs="Segoe UI"/>
          <w:sz w:val="20"/>
          <w:szCs w:val="20"/>
        </w:rPr>
      </w:pPr>
      <w:r w:rsidRPr="003E5129">
        <w:rPr>
          <w:rFonts w:ascii="Sylfaen" w:hAnsi="Sylfaen" w:cs="Segoe UI"/>
          <w:sz w:val="20"/>
          <w:szCs w:val="20"/>
          <w:lang w:val="ka-GE"/>
        </w:rPr>
        <w:t xml:space="preserve">2020 </w:t>
      </w:r>
      <w:r w:rsidRPr="00D73B98">
        <w:rPr>
          <w:rFonts w:ascii="Sylfaen" w:hAnsi="Sylfaen" w:cs="Segoe UI"/>
          <w:sz w:val="20"/>
          <w:szCs w:val="20"/>
          <w:lang w:val="ka-GE"/>
        </w:rPr>
        <w:t>წლის განმავლობაში პანდემიის შედეგად მნიშვნ</w:t>
      </w:r>
      <w:r>
        <w:rPr>
          <w:rFonts w:ascii="Sylfaen" w:hAnsi="Sylfaen" w:cs="Segoe UI"/>
          <w:sz w:val="20"/>
          <w:szCs w:val="20"/>
          <w:lang w:val="ka-GE"/>
        </w:rPr>
        <w:t>ელოვნად</w:t>
      </w:r>
      <w:r w:rsidRPr="00D73B98">
        <w:rPr>
          <w:rFonts w:ascii="Sylfaen" w:hAnsi="Sylfaen" w:cs="Segoe UI"/>
          <w:sz w:val="20"/>
          <w:szCs w:val="20"/>
          <w:lang w:val="ka-GE"/>
        </w:rPr>
        <w:t xml:space="preserve"> </w:t>
      </w:r>
      <w:r>
        <w:rPr>
          <w:rFonts w:ascii="Sylfaen" w:hAnsi="Sylfaen" w:cs="Segoe UI"/>
          <w:sz w:val="20"/>
          <w:szCs w:val="20"/>
          <w:lang w:val="ka-GE"/>
        </w:rPr>
        <w:t>გაუარესდა</w:t>
      </w:r>
      <w:r w:rsidRPr="00D73B98">
        <w:rPr>
          <w:rFonts w:ascii="Sylfaen" w:hAnsi="Sylfaen" w:cs="Segoe UI"/>
          <w:sz w:val="20"/>
          <w:szCs w:val="20"/>
          <w:lang w:val="ka-GE"/>
        </w:rPr>
        <w:t xml:space="preserve"> საგარეო </w:t>
      </w:r>
      <w:r>
        <w:rPr>
          <w:rFonts w:ascii="Sylfaen" w:hAnsi="Sylfaen" w:cs="Segoe UI"/>
          <w:sz w:val="20"/>
          <w:szCs w:val="20"/>
          <w:lang w:val="ka-GE"/>
        </w:rPr>
        <w:t>ბალანს</w:t>
      </w:r>
      <w:r w:rsidRPr="00D73B98">
        <w:rPr>
          <w:rFonts w:ascii="Sylfaen" w:hAnsi="Sylfaen" w:cs="Segoe UI"/>
          <w:sz w:val="20"/>
          <w:szCs w:val="20"/>
          <w:lang w:val="ka-GE"/>
        </w:rPr>
        <w:t>ი. თუმცა 2021 წლის თებერვლიდან, ექსპორტის წლიურ</w:t>
      </w:r>
      <w:r>
        <w:rPr>
          <w:rFonts w:ascii="Sylfaen" w:hAnsi="Sylfaen" w:cs="Segoe UI"/>
          <w:sz w:val="20"/>
          <w:szCs w:val="20"/>
          <w:lang w:val="ka-GE"/>
        </w:rPr>
        <w:t>ი</w:t>
      </w:r>
      <w:r w:rsidRPr="00D73B98">
        <w:rPr>
          <w:rFonts w:ascii="Sylfaen" w:hAnsi="Sylfaen" w:cs="Segoe UI"/>
          <w:sz w:val="20"/>
          <w:szCs w:val="20"/>
          <w:lang w:val="ka-GE"/>
        </w:rPr>
        <w:t xml:space="preserve"> ზრდა</w:t>
      </w:r>
      <w:r>
        <w:rPr>
          <w:rFonts w:ascii="Sylfaen" w:hAnsi="Sylfaen" w:cs="Segoe UI"/>
          <w:sz w:val="20"/>
          <w:szCs w:val="20"/>
          <w:lang w:val="ka-GE"/>
        </w:rPr>
        <w:t xml:space="preserve"> დადებითი გახდა და ეს ტენდენცია შენარჩუნებული იქნა მთლიანი წლის განმავლობაში</w:t>
      </w:r>
      <w:r w:rsidRPr="00D73B98">
        <w:rPr>
          <w:rFonts w:ascii="Sylfaen" w:hAnsi="Sylfaen" w:cs="Segoe UI"/>
          <w:sz w:val="20"/>
          <w:szCs w:val="20"/>
          <w:lang w:val="ka-GE"/>
        </w:rPr>
        <w:t xml:space="preserve">. </w:t>
      </w:r>
      <w:r>
        <w:rPr>
          <w:rFonts w:ascii="Sylfaen" w:hAnsi="Sylfaen" w:cs="Segoe UI"/>
          <w:sz w:val="20"/>
          <w:szCs w:val="20"/>
          <w:lang w:val="ka-GE"/>
        </w:rPr>
        <w:t xml:space="preserve"> საგარეო ვაჭრობის მაღალი ზრდა 2022 წელსაც შენარჩუნდა, კერძოდ 2022 წლის იანვარ-ოქტომბერში საქონლის ექსპორტის ზრდამ </w:t>
      </w:r>
      <w:r w:rsidRPr="003E5129">
        <w:rPr>
          <w:rFonts w:ascii="Sylfaen" w:hAnsi="Sylfaen" w:cs="Segoe UI"/>
          <w:sz w:val="20"/>
          <w:szCs w:val="20"/>
          <w:lang w:val="ka-GE"/>
        </w:rPr>
        <w:t>3</w:t>
      </w:r>
      <w:r>
        <w:rPr>
          <w:rFonts w:ascii="Sylfaen" w:hAnsi="Sylfaen" w:cs="Segoe UI"/>
          <w:sz w:val="20"/>
          <w:szCs w:val="20"/>
        </w:rPr>
        <w:t>4.0</w:t>
      </w:r>
      <w:r>
        <w:rPr>
          <w:rFonts w:ascii="Sylfaen" w:hAnsi="Sylfaen" w:cs="Segoe UI"/>
          <w:sz w:val="20"/>
          <w:szCs w:val="20"/>
          <w:lang w:val="ka-GE"/>
        </w:rPr>
        <w:t xml:space="preserve">% შეადგინა, ხოლო ამავე პერიოდში საქონლის იმპორტის  </w:t>
      </w:r>
      <w:r w:rsidRPr="003E5129">
        <w:rPr>
          <w:rFonts w:ascii="Sylfaen" w:hAnsi="Sylfaen" w:cs="Segoe UI"/>
          <w:sz w:val="20"/>
          <w:szCs w:val="20"/>
          <w:lang w:val="ka-GE"/>
        </w:rPr>
        <w:t>3</w:t>
      </w:r>
      <w:r>
        <w:rPr>
          <w:rFonts w:ascii="Sylfaen" w:hAnsi="Sylfaen" w:cs="Segoe UI"/>
          <w:sz w:val="20"/>
          <w:szCs w:val="20"/>
        </w:rPr>
        <w:t>3.3</w:t>
      </w:r>
      <w:r>
        <w:rPr>
          <w:rFonts w:ascii="Sylfaen" w:hAnsi="Sylfaen" w:cs="Segoe UI"/>
          <w:sz w:val="20"/>
          <w:szCs w:val="20"/>
          <w:lang w:val="ka-GE"/>
        </w:rPr>
        <w:t xml:space="preserve">%-იანი ზრდა დაფიქსირდა, შედეგად კი საქონლის სავაჭრო დეფიციტი </w:t>
      </w:r>
      <w:r>
        <w:rPr>
          <w:rFonts w:ascii="Sylfaen" w:hAnsi="Sylfaen" w:cs="Segoe UI"/>
          <w:sz w:val="20"/>
          <w:szCs w:val="20"/>
        </w:rPr>
        <w:t>32.7</w:t>
      </w:r>
      <w:r>
        <w:rPr>
          <w:rFonts w:ascii="Sylfaen" w:hAnsi="Sylfaen" w:cs="Segoe UI"/>
          <w:sz w:val="20"/>
          <w:szCs w:val="20"/>
          <w:lang w:val="ka-GE"/>
        </w:rPr>
        <w:t>%-ით გაიზარდა.</w:t>
      </w:r>
      <w:r w:rsidRPr="003E5129">
        <w:rPr>
          <w:rFonts w:ascii="Sylfaen" w:hAnsi="Sylfaen" w:cs="Segoe UI"/>
          <w:sz w:val="20"/>
          <w:szCs w:val="20"/>
          <w:lang w:val="ka-GE"/>
        </w:rPr>
        <w:t xml:space="preserve"> </w:t>
      </w:r>
      <w:r>
        <w:rPr>
          <w:rFonts w:ascii="Sylfaen" w:hAnsi="Sylfaen" w:cs="Segoe UI"/>
          <w:sz w:val="20"/>
          <w:szCs w:val="20"/>
          <w:lang w:val="ka-GE"/>
        </w:rPr>
        <w:t>ოქტომბერში</w:t>
      </w:r>
      <w:r w:rsidRPr="0020434D">
        <w:rPr>
          <w:rFonts w:ascii="Sylfaen" w:hAnsi="Sylfaen" w:cs="Segoe UI"/>
          <w:sz w:val="20"/>
          <w:szCs w:val="20"/>
          <w:lang w:val="ka-GE"/>
        </w:rPr>
        <w:t xml:space="preserve"> ექსპორტი წინა წლის ანალოგიურ პერიოდთან შედარებით </w:t>
      </w:r>
      <w:r>
        <w:rPr>
          <w:rFonts w:ascii="Sylfaen" w:hAnsi="Sylfaen" w:cs="Segoe UI"/>
          <w:sz w:val="20"/>
          <w:szCs w:val="20"/>
          <w:lang w:val="ka-GE"/>
        </w:rPr>
        <w:t>9.2%-</w:t>
      </w:r>
      <w:r w:rsidRPr="0020434D">
        <w:rPr>
          <w:rFonts w:ascii="Sylfaen" w:hAnsi="Sylfaen" w:cs="Segoe UI"/>
          <w:sz w:val="20"/>
          <w:szCs w:val="20"/>
          <w:lang w:val="ka-GE"/>
        </w:rPr>
        <w:t xml:space="preserve">ით გაიზარდა, ხოლო იმპორტის ზრდამ ამავე პერიოდში </w:t>
      </w:r>
      <w:r>
        <w:rPr>
          <w:rFonts w:ascii="Sylfaen" w:hAnsi="Sylfaen" w:cs="Segoe UI"/>
          <w:sz w:val="20"/>
          <w:szCs w:val="20"/>
          <w:lang w:val="ka-GE"/>
        </w:rPr>
        <w:t>20.1%</w:t>
      </w:r>
      <w:r w:rsidRPr="0020434D">
        <w:rPr>
          <w:rFonts w:ascii="Sylfaen" w:hAnsi="Sylfaen" w:cs="Segoe UI"/>
          <w:sz w:val="20"/>
          <w:szCs w:val="20"/>
          <w:lang w:val="ka-GE"/>
        </w:rPr>
        <w:t xml:space="preserve"> შეადგინა, შედეგად </w:t>
      </w:r>
      <w:r>
        <w:rPr>
          <w:rFonts w:ascii="Sylfaen" w:hAnsi="Sylfaen" w:cs="Segoe UI"/>
          <w:sz w:val="20"/>
          <w:szCs w:val="20"/>
          <w:lang w:val="ka-GE"/>
        </w:rPr>
        <w:t>ოქტომბერში</w:t>
      </w:r>
      <w:r w:rsidRPr="0020434D">
        <w:rPr>
          <w:rFonts w:ascii="Sylfaen" w:hAnsi="Sylfaen" w:cs="Segoe UI"/>
          <w:sz w:val="20"/>
          <w:szCs w:val="20"/>
          <w:lang w:val="ka-GE"/>
        </w:rPr>
        <w:t xml:space="preserve"> სავაჭრო დეფიციტი გაიზარდა </w:t>
      </w:r>
      <w:r>
        <w:rPr>
          <w:rFonts w:ascii="Sylfaen" w:hAnsi="Sylfaen" w:cs="Segoe UI"/>
          <w:sz w:val="20"/>
          <w:szCs w:val="20"/>
          <w:lang w:val="ka-GE"/>
        </w:rPr>
        <w:t>28.6%-</w:t>
      </w:r>
      <w:r w:rsidRPr="0020434D">
        <w:rPr>
          <w:rFonts w:ascii="Sylfaen" w:hAnsi="Sylfaen" w:cs="Segoe UI"/>
          <w:sz w:val="20"/>
          <w:szCs w:val="20"/>
          <w:lang w:val="ka-GE"/>
        </w:rPr>
        <w:t>ით</w:t>
      </w:r>
      <w:r>
        <w:rPr>
          <w:rFonts w:ascii="Sylfaen" w:hAnsi="Sylfaen" w:cs="Segoe UI"/>
          <w:sz w:val="20"/>
          <w:szCs w:val="20"/>
          <w:lang w:val="ka-GE"/>
        </w:rPr>
        <w:t xml:space="preserve">. საგარეო ვაჭრობის ზრდის პარალელურად მნიშვნელოვანი გამოცოცხლება ფიქსირდება ტურიზმის მიმართულებითც. </w:t>
      </w:r>
      <w:r w:rsidRPr="00D73B98">
        <w:rPr>
          <w:rFonts w:ascii="Sylfaen" w:hAnsi="Sylfaen" w:cs="Segoe UI"/>
          <w:sz w:val="20"/>
          <w:szCs w:val="20"/>
          <w:lang w:val="ka-GE"/>
        </w:rPr>
        <w:t xml:space="preserve">2021 </w:t>
      </w:r>
      <w:r>
        <w:rPr>
          <w:rFonts w:ascii="Sylfaen" w:hAnsi="Sylfaen" w:cs="Segoe UI"/>
          <w:sz w:val="20"/>
          <w:szCs w:val="20"/>
          <w:lang w:val="ka-GE"/>
        </w:rPr>
        <w:t>წელს</w:t>
      </w:r>
      <w:r w:rsidRPr="00D73B98">
        <w:rPr>
          <w:rFonts w:ascii="Sylfaen" w:hAnsi="Sylfaen" w:cs="Segoe UI"/>
          <w:sz w:val="20"/>
          <w:szCs w:val="20"/>
          <w:lang w:val="ka-GE"/>
        </w:rPr>
        <w:t xml:space="preserve"> ტურიზმიდან მ</w:t>
      </w:r>
      <w:r>
        <w:rPr>
          <w:rFonts w:ascii="Sylfaen" w:hAnsi="Sylfaen" w:cs="Segoe UI"/>
          <w:sz w:val="20"/>
          <w:szCs w:val="20"/>
          <w:lang w:val="ka-GE"/>
        </w:rPr>
        <w:t>იღებულმა</w:t>
      </w:r>
      <w:r w:rsidRPr="00D73B98">
        <w:rPr>
          <w:rFonts w:ascii="Sylfaen" w:hAnsi="Sylfaen" w:cs="Segoe UI"/>
          <w:sz w:val="20"/>
          <w:szCs w:val="20"/>
          <w:lang w:val="ka-GE"/>
        </w:rPr>
        <w:t xml:space="preserve"> </w:t>
      </w:r>
      <w:r>
        <w:rPr>
          <w:rFonts w:ascii="Sylfaen" w:hAnsi="Sylfaen" w:cs="Segoe UI"/>
          <w:sz w:val="20"/>
          <w:szCs w:val="20"/>
          <w:lang w:val="ka-GE"/>
        </w:rPr>
        <w:t xml:space="preserve"> შემოსავალმა შეადგინა 1,245 მილიონი აშშ დოლარი, რაც 2020 წელთან შედარებით 130%-იანი ზრდაა, ხოლო 2019 წლის შემოსავლების 38%</w:t>
      </w:r>
      <w:r w:rsidRPr="00ED7ADB">
        <w:rPr>
          <w:rFonts w:ascii="Sylfaen" w:hAnsi="Sylfaen" w:cs="Segoe UI"/>
          <w:sz w:val="20"/>
          <w:szCs w:val="20"/>
          <w:lang w:val="ka-GE"/>
        </w:rPr>
        <w:t>-ს შეადგენს. 2022 წელს მნიშვნელოვნად გაუმჯობესდა ტურიზმი და იანვარ-</w:t>
      </w:r>
      <w:r>
        <w:rPr>
          <w:rFonts w:ascii="Sylfaen" w:hAnsi="Sylfaen" w:cs="Segoe UI"/>
          <w:sz w:val="20"/>
          <w:szCs w:val="20"/>
          <w:lang w:val="ka-GE"/>
        </w:rPr>
        <w:t>ოქტომბრის</w:t>
      </w:r>
      <w:r w:rsidRPr="00ED7ADB">
        <w:rPr>
          <w:rFonts w:ascii="Sylfaen" w:hAnsi="Sylfaen" w:cs="Segoe UI"/>
          <w:sz w:val="20"/>
          <w:szCs w:val="20"/>
          <w:lang w:val="ka-GE"/>
        </w:rPr>
        <w:t xml:space="preserve"> მდგომარეობით, ტურიზმიდან მიღებული შემოსავალი 2021 წლის იანვარ-</w:t>
      </w:r>
      <w:r>
        <w:rPr>
          <w:rFonts w:ascii="Sylfaen" w:hAnsi="Sylfaen" w:cs="Segoe UI"/>
          <w:sz w:val="20"/>
          <w:szCs w:val="20"/>
        </w:rPr>
        <w:t>ოქტომბრის</w:t>
      </w:r>
      <w:r w:rsidRPr="00ED7ADB">
        <w:rPr>
          <w:rFonts w:ascii="Sylfaen" w:hAnsi="Sylfaen" w:cs="Segoe UI"/>
          <w:sz w:val="20"/>
          <w:szCs w:val="20"/>
          <w:lang w:val="ka-GE"/>
        </w:rPr>
        <w:t xml:space="preserve"> შესაბამის მაჩვენებელთან შედარებით გაზრდილია </w:t>
      </w:r>
      <w:r>
        <w:rPr>
          <w:rFonts w:ascii="Sylfaen" w:hAnsi="Sylfaen" w:cs="Segoe UI"/>
          <w:sz w:val="20"/>
          <w:szCs w:val="20"/>
          <w:lang w:val="ka-GE"/>
        </w:rPr>
        <w:t>183.2</w:t>
      </w:r>
      <w:r w:rsidRPr="00ED7ADB">
        <w:rPr>
          <w:rFonts w:ascii="Sylfaen" w:hAnsi="Sylfaen" w:cs="Segoe UI"/>
          <w:sz w:val="20"/>
          <w:szCs w:val="20"/>
          <w:lang w:val="ka-GE"/>
        </w:rPr>
        <w:t>%-ით</w:t>
      </w:r>
      <w:r w:rsidRPr="00ED7ADB">
        <w:rPr>
          <w:rFonts w:ascii="Sylfaen" w:hAnsi="Sylfaen" w:cs="Segoe UI"/>
          <w:sz w:val="20"/>
          <w:szCs w:val="20"/>
        </w:rPr>
        <w:t xml:space="preserve">, </w:t>
      </w:r>
      <w:r w:rsidRPr="00ED7ADB">
        <w:rPr>
          <w:rFonts w:ascii="Sylfaen" w:hAnsi="Sylfaen" w:cs="Segoe UI"/>
          <w:sz w:val="20"/>
          <w:szCs w:val="20"/>
          <w:lang w:val="ka-GE"/>
        </w:rPr>
        <w:t>ხოლო 2019 წელთან შედარებით 2022 წლის იანვარ-</w:t>
      </w:r>
      <w:r>
        <w:rPr>
          <w:rFonts w:ascii="Sylfaen" w:hAnsi="Sylfaen" w:cs="Segoe UI"/>
          <w:sz w:val="20"/>
          <w:szCs w:val="20"/>
          <w:lang w:val="ka-GE"/>
        </w:rPr>
        <w:t>ოქტომბერში</w:t>
      </w:r>
      <w:r w:rsidRPr="00ED7ADB">
        <w:rPr>
          <w:rFonts w:ascii="Sylfaen" w:hAnsi="Sylfaen" w:cs="Segoe UI"/>
          <w:sz w:val="20"/>
          <w:szCs w:val="20"/>
          <w:lang w:val="ka-GE"/>
        </w:rPr>
        <w:t xml:space="preserve"> ტურიზმი </w:t>
      </w:r>
      <w:r>
        <w:rPr>
          <w:rFonts w:ascii="Sylfaen" w:hAnsi="Sylfaen" w:cs="Segoe UI"/>
          <w:sz w:val="20"/>
          <w:szCs w:val="20"/>
          <w:lang w:val="ka-GE"/>
        </w:rPr>
        <w:t>100.2</w:t>
      </w:r>
      <w:r w:rsidRPr="00ED7ADB">
        <w:rPr>
          <w:rFonts w:ascii="Sylfaen" w:hAnsi="Sylfaen" w:cs="Segoe UI"/>
          <w:sz w:val="20"/>
          <w:szCs w:val="20"/>
          <w:lang w:val="ka-GE"/>
        </w:rPr>
        <w:t xml:space="preserve"> პროცენტით აღდგა. 2021</w:t>
      </w:r>
      <w:r w:rsidRPr="003E5129">
        <w:rPr>
          <w:rFonts w:ascii="Sylfaen" w:hAnsi="Sylfaen" w:cs="Segoe UI"/>
          <w:sz w:val="20"/>
          <w:szCs w:val="20"/>
          <w:lang w:val="ka-GE"/>
        </w:rPr>
        <w:t xml:space="preserve"> </w:t>
      </w:r>
      <w:r>
        <w:rPr>
          <w:rFonts w:ascii="Sylfaen" w:hAnsi="Sylfaen" w:cs="Segoe UI"/>
          <w:sz w:val="20"/>
          <w:szCs w:val="20"/>
          <w:lang w:val="ka-GE"/>
        </w:rPr>
        <w:t>წელს,</w:t>
      </w:r>
      <w:r w:rsidRPr="003E5129">
        <w:rPr>
          <w:rFonts w:ascii="Sylfaen" w:hAnsi="Sylfaen" w:cs="Segoe UI"/>
          <w:sz w:val="20"/>
          <w:szCs w:val="20"/>
          <w:lang w:val="ka-GE"/>
        </w:rPr>
        <w:t xml:space="preserve"> </w:t>
      </w:r>
      <w:r w:rsidRPr="00D73B98">
        <w:rPr>
          <w:rFonts w:ascii="Sylfaen" w:hAnsi="Sylfaen" w:cs="Segoe UI"/>
          <w:sz w:val="20"/>
          <w:szCs w:val="20"/>
          <w:lang w:val="ka-GE"/>
        </w:rPr>
        <w:t xml:space="preserve">მიმდინარე ანგარიშის დეფიციტის მშპ-სთან </w:t>
      </w:r>
      <w:r>
        <w:rPr>
          <w:rFonts w:ascii="Sylfaen" w:hAnsi="Sylfaen" w:cs="Segoe UI"/>
          <w:sz w:val="20"/>
          <w:szCs w:val="20"/>
          <w:lang w:val="ka-GE"/>
        </w:rPr>
        <w:t>ფარდობამ შეადგინა 10.</w:t>
      </w:r>
      <w:r>
        <w:rPr>
          <w:rFonts w:ascii="Sylfaen" w:hAnsi="Sylfaen" w:cs="Segoe UI"/>
          <w:sz w:val="20"/>
          <w:szCs w:val="20"/>
        </w:rPr>
        <w:t>4</w:t>
      </w:r>
      <w:r>
        <w:rPr>
          <w:rFonts w:ascii="Sylfaen" w:hAnsi="Sylfaen" w:cs="Segoe UI"/>
          <w:sz w:val="20"/>
          <w:szCs w:val="20"/>
          <w:lang w:val="ka-GE"/>
        </w:rPr>
        <w:t>%, რაც 2020 წელთან შედარებით</w:t>
      </w:r>
      <w:r w:rsidRPr="00D73B98">
        <w:rPr>
          <w:rFonts w:ascii="Sylfaen" w:hAnsi="Sylfaen" w:cs="Segoe UI"/>
          <w:sz w:val="20"/>
          <w:szCs w:val="20"/>
          <w:lang w:val="ka-GE"/>
        </w:rPr>
        <w:t xml:space="preserve"> </w:t>
      </w:r>
      <w:r>
        <w:rPr>
          <w:rFonts w:ascii="Sylfaen" w:hAnsi="Sylfaen" w:cs="Segoe UI"/>
          <w:sz w:val="20"/>
          <w:szCs w:val="20"/>
          <w:lang w:val="ka-GE"/>
        </w:rPr>
        <w:t>2.</w:t>
      </w:r>
      <w:r w:rsidR="00C55B49">
        <w:rPr>
          <w:rFonts w:ascii="Sylfaen" w:hAnsi="Sylfaen" w:cs="Segoe UI"/>
          <w:sz w:val="20"/>
          <w:szCs w:val="20"/>
          <w:lang w:val="ka-GE"/>
        </w:rPr>
        <w:t>1</w:t>
      </w:r>
      <w:r>
        <w:rPr>
          <w:rFonts w:ascii="Sylfaen" w:hAnsi="Sylfaen" w:cs="Segoe UI"/>
          <w:sz w:val="20"/>
          <w:szCs w:val="20"/>
          <w:lang w:val="ka-GE"/>
        </w:rPr>
        <w:t xml:space="preserve"> პ.პ-ით გაუმჯობესებაა. </w:t>
      </w:r>
      <w:r w:rsidRPr="00D73B98">
        <w:rPr>
          <w:rFonts w:ascii="Sylfaen" w:hAnsi="Sylfaen" w:cs="Segoe UI"/>
          <w:sz w:val="20"/>
          <w:szCs w:val="20"/>
          <w:lang w:val="ka-GE"/>
        </w:rPr>
        <w:t xml:space="preserve">საქონლით ვაჭრობის დეფიციტი </w:t>
      </w:r>
      <w:r w:rsidRPr="003E5129">
        <w:rPr>
          <w:rFonts w:ascii="Sylfaen" w:hAnsi="Sylfaen" w:cs="Segoe UI"/>
          <w:sz w:val="20"/>
          <w:szCs w:val="20"/>
          <w:lang w:val="ka-GE"/>
        </w:rPr>
        <w:t>2020-</w:t>
      </w:r>
      <w:r>
        <w:rPr>
          <w:rFonts w:ascii="Sylfaen" w:hAnsi="Sylfaen" w:cs="Segoe UI"/>
          <w:sz w:val="20"/>
          <w:szCs w:val="20"/>
          <w:lang w:val="ka-GE"/>
        </w:rPr>
        <w:t>2021 წლებში შეადგენდა მშპ-ს 20.</w:t>
      </w:r>
      <w:r w:rsidR="003032B0">
        <w:rPr>
          <w:rFonts w:ascii="Sylfaen" w:hAnsi="Sylfaen" w:cs="Segoe UI"/>
          <w:sz w:val="20"/>
          <w:szCs w:val="20"/>
          <w:lang w:val="ka-GE"/>
        </w:rPr>
        <w:t>2</w:t>
      </w:r>
      <w:r>
        <w:rPr>
          <w:rFonts w:ascii="Sylfaen" w:hAnsi="Sylfaen" w:cs="Segoe UI"/>
          <w:sz w:val="20"/>
          <w:szCs w:val="20"/>
          <w:lang w:val="ka-GE"/>
        </w:rPr>
        <w:t>%-ს</w:t>
      </w:r>
      <w:r w:rsidRPr="00D73B98">
        <w:rPr>
          <w:rFonts w:ascii="Sylfaen" w:hAnsi="Sylfaen" w:cs="Segoe UI"/>
          <w:sz w:val="20"/>
          <w:szCs w:val="20"/>
          <w:lang w:val="ka-GE"/>
        </w:rPr>
        <w:t xml:space="preserve">, ხოლო მომსახურებით ვაჭრობის </w:t>
      </w:r>
      <w:r>
        <w:rPr>
          <w:rFonts w:ascii="Sylfaen" w:hAnsi="Sylfaen" w:cs="Segoe UI"/>
          <w:sz w:val="20"/>
          <w:szCs w:val="20"/>
          <w:lang w:val="ka-GE"/>
        </w:rPr>
        <w:t xml:space="preserve">დადებითი </w:t>
      </w:r>
      <w:r w:rsidRPr="00D73B98">
        <w:rPr>
          <w:rFonts w:ascii="Sylfaen" w:hAnsi="Sylfaen" w:cs="Segoe UI"/>
          <w:sz w:val="20"/>
          <w:szCs w:val="20"/>
          <w:lang w:val="ka-GE"/>
        </w:rPr>
        <w:t xml:space="preserve">ბალანსი  მშპ-ს </w:t>
      </w:r>
      <w:r>
        <w:rPr>
          <w:rFonts w:ascii="Sylfaen" w:hAnsi="Sylfaen" w:cs="Segoe UI"/>
          <w:sz w:val="20"/>
          <w:szCs w:val="20"/>
          <w:lang w:val="ka-GE"/>
        </w:rPr>
        <w:t>0.8%-</w:t>
      </w:r>
      <w:r w:rsidRPr="00D73B98">
        <w:rPr>
          <w:rFonts w:ascii="Sylfaen" w:hAnsi="Sylfaen" w:cs="Segoe UI"/>
          <w:sz w:val="20"/>
          <w:szCs w:val="20"/>
          <w:lang w:val="ka-GE"/>
        </w:rPr>
        <w:t xml:space="preserve">დან მშპ-ს </w:t>
      </w:r>
      <w:r>
        <w:rPr>
          <w:rFonts w:ascii="Sylfaen" w:hAnsi="Sylfaen" w:cs="Segoe UI"/>
          <w:sz w:val="20"/>
          <w:szCs w:val="20"/>
          <w:lang w:val="ka-GE"/>
        </w:rPr>
        <w:t>3.9%-</w:t>
      </w:r>
      <w:r w:rsidRPr="00D73B98">
        <w:rPr>
          <w:rFonts w:ascii="Sylfaen" w:hAnsi="Sylfaen" w:cs="Segoe UI"/>
          <w:sz w:val="20"/>
          <w:szCs w:val="20"/>
          <w:lang w:val="ka-GE"/>
        </w:rPr>
        <w:t>მდე</w:t>
      </w:r>
      <w:r>
        <w:rPr>
          <w:rFonts w:ascii="Sylfaen" w:hAnsi="Sylfaen" w:cs="Segoe UI"/>
          <w:sz w:val="20"/>
          <w:szCs w:val="20"/>
          <w:lang w:val="ka-GE"/>
        </w:rPr>
        <w:t xml:space="preserve"> გაიზარდა</w:t>
      </w:r>
      <w:r w:rsidRPr="00D73B98">
        <w:rPr>
          <w:rFonts w:ascii="Sylfaen" w:hAnsi="Sylfaen" w:cs="Segoe UI"/>
          <w:sz w:val="20"/>
          <w:szCs w:val="20"/>
          <w:lang w:val="ka-GE"/>
        </w:rPr>
        <w:t xml:space="preserve">. </w:t>
      </w:r>
      <w:r>
        <w:rPr>
          <w:rFonts w:ascii="Sylfaen" w:hAnsi="Sylfaen" w:cs="Segoe UI"/>
          <w:sz w:val="20"/>
          <w:szCs w:val="20"/>
          <w:lang w:val="ka-GE"/>
        </w:rPr>
        <w:t>მცირედით</w:t>
      </w:r>
      <w:r w:rsidRPr="00D73B98">
        <w:rPr>
          <w:rFonts w:ascii="Sylfaen" w:hAnsi="Sylfaen" w:cs="Segoe UI"/>
          <w:sz w:val="20"/>
          <w:szCs w:val="20"/>
          <w:lang w:val="ka-GE"/>
        </w:rPr>
        <w:t xml:space="preserve"> გაიზარდა პირდაპირი ტრანსფერები (მეორადი შემოსავალი), მშპ-ს </w:t>
      </w:r>
      <w:r>
        <w:rPr>
          <w:rFonts w:ascii="Sylfaen" w:hAnsi="Sylfaen" w:cs="Segoe UI"/>
          <w:sz w:val="20"/>
          <w:szCs w:val="20"/>
          <w:lang w:val="ka-GE"/>
        </w:rPr>
        <w:t>11.4%-</w:t>
      </w:r>
      <w:r w:rsidRPr="00D73B98">
        <w:rPr>
          <w:rFonts w:ascii="Sylfaen" w:hAnsi="Sylfaen" w:cs="Segoe UI"/>
          <w:sz w:val="20"/>
          <w:szCs w:val="20"/>
          <w:lang w:val="ka-GE"/>
        </w:rPr>
        <w:t xml:space="preserve">დან </w:t>
      </w:r>
      <w:r>
        <w:rPr>
          <w:rFonts w:ascii="Sylfaen" w:hAnsi="Sylfaen" w:cs="Segoe UI"/>
          <w:sz w:val="20"/>
          <w:szCs w:val="20"/>
          <w:lang w:val="ka-GE"/>
        </w:rPr>
        <w:t>12.</w:t>
      </w:r>
      <w:r w:rsidR="001D2537">
        <w:rPr>
          <w:rFonts w:ascii="Sylfaen" w:hAnsi="Sylfaen" w:cs="Segoe UI"/>
          <w:sz w:val="20"/>
          <w:szCs w:val="20"/>
          <w:lang w:val="ka-GE"/>
        </w:rPr>
        <w:t>4</w:t>
      </w:r>
      <w:r>
        <w:rPr>
          <w:rFonts w:ascii="Sylfaen" w:hAnsi="Sylfaen" w:cs="Segoe UI"/>
          <w:sz w:val="20"/>
          <w:szCs w:val="20"/>
          <w:lang w:val="ka-GE"/>
        </w:rPr>
        <w:t>%-</w:t>
      </w:r>
      <w:r w:rsidRPr="00D73B98">
        <w:rPr>
          <w:rFonts w:ascii="Sylfaen" w:hAnsi="Sylfaen" w:cs="Segoe UI"/>
          <w:sz w:val="20"/>
          <w:szCs w:val="20"/>
          <w:lang w:val="ka-GE"/>
        </w:rPr>
        <w:t xml:space="preserve">მდე, ხოლო პირველადი შემოსავლის </w:t>
      </w:r>
      <w:r>
        <w:rPr>
          <w:rFonts w:ascii="Sylfaen" w:hAnsi="Sylfaen" w:cs="Segoe UI"/>
          <w:sz w:val="20"/>
          <w:szCs w:val="20"/>
          <w:lang w:val="ka-GE"/>
        </w:rPr>
        <w:t>ბალანსმა მცირედი გაუარესება განიცადა</w:t>
      </w:r>
      <w:r w:rsidRPr="00D73B98">
        <w:rPr>
          <w:rFonts w:ascii="Sylfaen" w:hAnsi="Sylfaen" w:cs="Segoe UI"/>
          <w:sz w:val="20"/>
          <w:szCs w:val="20"/>
          <w:lang w:val="ka-GE"/>
        </w:rPr>
        <w:t>, მშპ-ს -4.</w:t>
      </w:r>
      <w:r>
        <w:rPr>
          <w:rFonts w:ascii="Sylfaen" w:hAnsi="Sylfaen" w:cs="Segoe UI"/>
          <w:sz w:val="20"/>
          <w:szCs w:val="20"/>
          <w:lang w:val="ka-GE"/>
        </w:rPr>
        <w:t>7%-</w:t>
      </w:r>
      <w:r w:rsidRPr="00D73B98">
        <w:rPr>
          <w:rFonts w:ascii="Sylfaen" w:hAnsi="Sylfaen" w:cs="Segoe UI"/>
          <w:sz w:val="20"/>
          <w:szCs w:val="20"/>
          <w:lang w:val="ka-GE"/>
        </w:rPr>
        <w:t>დან მშპ-ს -</w:t>
      </w:r>
      <w:r>
        <w:rPr>
          <w:rFonts w:ascii="Sylfaen" w:hAnsi="Sylfaen" w:cs="Segoe UI"/>
          <w:sz w:val="20"/>
          <w:szCs w:val="20"/>
          <w:lang w:val="ka-GE"/>
        </w:rPr>
        <w:t>6.</w:t>
      </w:r>
      <w:r w:rsidR="001D2537">
        <w:rPr>
          <w:rFonts w:ascii="Sylfaen" w:hAnsi="Sylfaen" w:cs="Segoe UI"/>
          <w:sz w:val="20"/>
          <w:szCs w:val="20"/>
          <w:lang w:val="ka-GE"/>
        </w:rPr>
        <w:t>3</w:t>
      </w:r>
      <w:r>
        <w:rPr>
          <w:rFonts w:ascii="Sylfaen" w:hAnsi="Sylfaen" w:cs="Segoe UI"/>
          <w:sz w:val="20"/>
          <w:szCs w:val="20"/>
          <w:lang w:val="ka-GE"/>
        </w:rPr>
        <w:t>%-</w:t>
      </w:r>
      <w:r w:rsidRPr="00D73B98">
        <w:rPr>
          <w:rFonts w:ascii="Sylfaen" w:hAnsi="Sylfaen" w:cs="Segoe UI"/>
          <w:sz w:val="20"/>
          <w:szCs w:val="20"/>
          <w:lang w:val="ka-GE"/>
        </w:rPr>
        <w:t xml:space="preserve">მდე. მიმდინარე ანგარიშის დეფიციტის დაფინანსება ხდება როგორც პირდაპირი (მშპ-ს </w:t>
      </w:r>
      <w:r>
        <w:rPr>
          <w:rFonts w:ascii="Sylfaen" w:hAnsi="Sylfaen" w:cs="Segoe UI"/>
          <w:sz w:val="20"/>
          <w:szCs w:val="20"/>
          <w:lang w:val="ka-GE"/>
        </w:rPr>
        <w:t>4.4%</w:t>
      </w:r>
      <w:r w:rsidRPr="00D73B98">
        <w:rPr>
          <w:rFonts w:ascii="Sylfaen" w:hAnsi="Sylfaen" w:cs="Segoe UI"/>
          <w:sz w:val="20"/>
          <w:szCs w:val="20"/>
          <w:lang w:val="ka-GE"/>
        </w:rPr>
        <w:t xml:space="preserve">), </w:t>
      </w:r>
      <w:r>
        <w:rPr>
          <w:rFonts w:ascii="Sylfaen" w:hAnsi="Sylfaen" w:cs="Segoe UI"/>
          <w:sz w:val="20"/>
          <w:szCs w:val="20"/>
          <w:lang w:val="ka-GE"/>
        </w:rPr>
        <w:t>ასევე - პორტფელური ინვესტიციებით, თუმცა 2021 წელს წმინდა პორტფელური ინვესტიციები  უარყოფითი იყო და მშპ-ს -1.7% შეადგინა. 2021 წელს</w:t>
      </w:r>
      <w:r w:rsidRPr="00D73B98">
        <w:rPr>
          <w:rFonts w:ascii="Sylfaen" w:hAnsi="Sylfaen" w:cs="Segoe UI"/>
          <w:sz w:val="20"/>
          <w:szCs w:val="20"/>
          <w:lang w:val="ka-GE"/>
        </w:rPr>
        <w:t xml:space="preserve"> მიმდინარე ანგარიშის დაფინანსების ძირითად წყაროდ </w:t>
      </w:r>
      <w:r>
        <w:rPr>
          <w:rFonts w:ascii="Sylfaen" w:hAnsi="Sylfaen" w:cs="Segoe UI"/>
          <w:sz w:val="20"/>
          <w:szCs w:val="20"/>
          <w:lang w:val="ka-GE"/>
        </w:rPr>
        <w:t>გვევვლინება</w:t>
      </w:r>
      <w:r w:rsidRPr="00D73B98">
        <w:rPr>
          <w:rFonts w:ascii="Sylfaen" w:hAnsi="Sylfaen" w:cs="Segoe UI"/>
          <w:sz w:val="20"/>
          <w:szCs w:val="20"/>
          <w:lang w:val="ka-GE"/>
        </w:rPr>
        <w:t xml:space="preserve"> სხვა ინვესტიციები (-</w:t>
      </w:r>
      <w:r>
        <w:rPr>
          <w:rFonts w:ascii="Sylfaen" w:hAnsi="Sylfaen" w:cs="Segoe UI"/>
          <w:sz w:val="20"/>
          <w:szCs w:val="20"/>
          <w:lang w:val="ka-GE"/>
        </w:rPr>
        <w:t>9.4%</w:t>
      </w:r>
      <w:r w:rsidRPr="00D73B98">
        <w:rPr>
          <w:rFonts w:ascii="Sylfaen" w:hAnsi="Sylfaen" w:cs="Segoe UI"/>
          <w:sz w:val="20"/>
          <w:szCs w:val="20"/>
          <w:lang w:val="ka-GE"/>
        </w:rPr>
        <w:t xml:space="preserve">), რის </w:t>
      </w:r>
      <w:r>
        <w:rPr>
          <w:rFonts w:ascii="Sylfaen" w:hAnsi="Sylfaen" w:cs="Segoe UI"/>
          <w:sz w:val="20"/>
          <w:szCs w:val="20"/>
          <w:lang w:val="ka-GE"/>
        </w:rPr>
        <w:t xml:space="preserve">ერთ-ერთ </w:t>
      </w:r>
      <w:r w:rsidRPr="00D73B98">
        <w:rPr>
          <w:rFonts w:ascii="Sylfaen" w:hAnsi="Sylfaen" w:cs="Segoe UI"/>
          <w:sz w:val="20"/>
          <w:szCs w:val="20"/>
          <w:lang w:val="ka-GE"/>
        </w:rPr>
        <w:t>მიზე</w:t>
      </w:r>
      <w:r>
        <w:rPr>
          <w:rFonts w:ascii="Sylfaen" w:hAnsi="Sylfaen" w:cs="Segoe UI"/>
          <w:sz w:val="20"/>
          <w:szCs w:val="20"/>
          <w:lang w:val="ka-GE"/>
        </w:rPr>
        <w:t>ზ</w:t>
      </w:r>
      <w:r w:rsidRPr="00D73B98">
        <w:rPr>
          <w:rFonts w:ascii="Sylfaen" w:hAnsi="Sylfaen" w:cs="Segoe UI"/>
          <w:sz w:val="20"/>
          <w:szCs w:val="20"/>
          <w:lang w:val="ka-GE"/>
        </w:rPr>
        <w:t xml:space="preserve">საც წარმოადგენს მთავრობის მიერ </w:t>
      </w:r>
      <w:r>
        <w:rPr>
          <w:rFonts w:ascii="Sylfaen" w:hAnsi="Sylfaen" w:cs="Segoe UI"/>
          <w:sz w:val="20"/>
          <w:szCs w:val="20"/>
          <w:lang w:val="ka-GE"/>
        </w:rPr>
        <w:t xml:space="preserve">პანდეემის საწინააღმდეგ </w:t>
      </w:r>
      <w:r w:rsidRPr="00D73B98">
        <w:rPr>
          <w:rFonts w:ascii="Sylfaen" w:hAnsi="Sylfaen" w:cs="Segoe UI"/>
          <w:sz w:val="20"/>
          <w:szCs w:val="20"/>
          <w:lang w:val="ka-GE"/>
        </w:rPr>
        <w:t>საგარეო ვალის აღება.</w:t>
      </w:r>
      <w:r>
        <w:rPr>
          <w:rFonts w:ascii="Sylfaen" w:hAnsi="Sylfaen" w:cs="Segoe UI"/>
          <w:sz w:val="20"/>
          <w:szCs w:val="20"/>
          <w:lang w:val="ka-GE"/>
        </w:rPr>
        <w:t xml:space="preserve"> გაუმჯობესებული საგარეო ტენდენციების გათვალისწინებით მოსალოდნელია, რომ მიმდინარე ანგარიშის დეფიციტი მნიშვნელ</w:t>
      </w:r>
      <w:r w:rsidR="00DA1AF5">
        <w:rPr>
          <w:rFonts w:ascii="Sylfaen" w:hAnsi="Sylfaen" w:cs="Segoe UI"/>
          <w:sz w:val="20"/>
          <w:szCs w:val="20"/>
          <w:lang w:val="ka-GE"/>
        </w:rPr>
        <w:t>ო</w:t>
      </w:r>
      <w:r>
        <w:rPr>
          <w:rFonts w:ascii="Sylfaen" w:hAnsi="Sylfaen" w:cs="Segoe UI"/>
          <w:sz w:val="20"/>
          <w:szCs w:val="20"/>
          <w:lang w:val="ka-GE"/>
        </w:rPr>
        <w:t>ვნად შემცირდება და</w:t>
      </w:r>
      <w:r w:rsidR="00DA1AF5">
        <w:rPr>
          <w:rFonts w:ascii="Sylfaen" w:hAnsi="Sylfaen" w:cs="Segoe UI"/>
          <w:sz w:val="20"/>
          <w:szCs w:val="20"/>
          <w:lang w:val="ka-GE"/>
        </w:rPr>
        <w:t xml:space="preserve"> </w:t>
      </w:r>
      <w:r>
        <w:rPr>
          <w:rFonts w:ascii="Sylfaen" w:hAnsi="Sylfaen" w:cs="Segoe UI"/>
          <w:sz w:val="20"/>
          <w:szCs w:val="20"/>
          <w:lang w:val="ka-GE"/>
        </w:rPr>
        <w:t>არსებული პროგნოზით</w:t>
      </w:r>
      <w:r w:rsidRPr="00D73B98">
        <w:rPr>
          <w:rFonts w:ascii="Sylfaen" w:hAnsi="Sylfaen" w:cs="Segoe UI"/>
          <w:sz w:val="20"/>
          <w:szCs w:val="20"/>
          <w:lang w:val="ka-GE"/>
        </w:rPr>
        <w:t xml:space="preserve"> 202</w:t>
      </w:r>
      <w:r>
        <w:rPr>
          <w:rFonts w:ascii="Sylfaen" w:hAnsi="Sylfaen" w:cs="Segoe UI"/>
          <w:sz w:val="20"/>
          <w:szCs w:val="20"/>
          <w:lang w:val="ka-GE"/>
        </w:rPr>
        <w:t>2</w:t>
      </w:r>
      <w:r w:rsidRPr="00D73B98">
        <w:rPr>
          <w:rFonts w:ascii="Sylfaen" w:hAnsi="Sylfaen" w:cs="Segoe UI"/>
          <w:sz w:val="20"/>
          <w:szCs w:val="20"/>
          <w:lang w:val="ka-GE"/>
        </w:rPr>
        <w:t xml:space="preserve"> წლისთვის მშპ-ს </w:t>
      </w:r>
      <w:r w:rsidR="00DA1AF5">
        <w:rPr>
          <w:rFonts w:ascii="Sylfaen" w:hAnsi="Sylfaen" w:cs="Segoe UI"/>
          <w:sz w:val="20"/>
          <w:szCs w:val="20"/>
          <w:lang w:val="ka-GE"/>
        </w:rPr>
        <w:t>5.7</w:t>
      </w:r>
      <w:r>
        <w:rPr>
          <w:rFonts w:ascii="Sylfaen" w:hAnsi="Sylfaen" w:cs="Segoe UI"/>
          <w:sz w:val="20"/>
          <w:szCs w:val="20"/>
          <w:lang w:val="ka-GE"/>
        </w:rPr>
        <w:t>%</w:t>
      </w:r>
      <w:r w:rsidR="001D2537">
        <w:rPr>
          <w:rFonts w:ascii="Sylfaen" w:hAnsi="Sylfaen" w:cs="Segoe UI"/>
          <w:sz w:val="20"/>
          <w:szCs w:val="20"/>
          <w:lang w:val="ka-GE"/>
        </w:rPr>
        <w:t>-ზე</w:t>
      </w:r>
      <w:r w:rsidRPr="00D73B98">
        <w:rPr>
          <w:rFonts w:ascii="Sylfaen" w:hAnsi="Sylfaen" w:cs="Segoe UI"/>
          <w:sz w:val="20"/>
          <w:szCs w:val="20"/>
          <w:lang w:val="ka-GE"/>
        </w:rPr>
        <w:t xml:space="preserve"> </w:t>
      </w:r>
      <w:r>
        <w:rPr>
          <w:rFonts w:ascii="Sylfaen" w:hAnsi="Sylfaen" w:cs="Segoe UI"/>
          <w:sz w:val="20"/>
          <w:szCs w:val="20"/>
          <w:lang w:val="ka-GE"/>
        </w:rPr>
        <w:t>დაფიქსირდება</w:t>
      </w:r>
      <w:r w:rsidRPr="00D73B98">
        <w:rPr>
          <w:rFonts w:ascii="Sylfaen" w:hAnsi="Sylfaen" w:cs="Segoe UI"/>
          <w:sz w:val="20"/>
          <w:szCs w:val="20"/>
          <w:lang w:val="ka-GE"/>
        </w:rPr>
        <w:t xml:space="preserve">. </w:t>
      </w:r>
    </w:p>
    <w:p w:rsidR="00D73B98" w:rsidRPr="00D73B98" w:rsidRDefault="00947C0C" w:rsidP="00114227">
      <w:pPr>
        <w:spacing w:before="240" w:line="276" w:lineRule="auto"/>
        <w:ind w:firstLine="720"/>
        <w:jc w:val="both"/>
        <w:rPr>
          <w:rFonts w:ascii="Sylfaen" w:hAnsi="Sylfaen" w:cs="Segoe UI"/>
          <w:sz w:val="20"/>
          <w:szCs w:val="20"/>
          <w:lang w:val="ka-GE"/>
        </w:rPr>
      </w:pPr>
      <w:r w:rsidRPr="00D73B98">
        <w:rPr>
          <w:rFonts w:ascii="Sylfaen" w:hAnsi="Sylfaen" w:cs="Segoe UI"/>
          <w:sz w:val="20"/>
          <w:szCs w:val="20"/>
          <w:lang w:val="ka-GE"/>
        </w:rPr>
        <w:t xml:space="preserve"> </w:t>
      </w:r>
      <w:r w:rsidR="00D73B98" w:rsidRPr="00D73B98">
        <w:rPr>
          <w:rFonts w:ascii="Sylfaen" w:hAnsi="Sylfaen" w:cs="Segoe UI"/>
          <w:sz w:val="20"/>
          <w:szCs w:val="20"/>
          <w:lang w:val="ka-GE"/>
        </w:rPr>
        <w:t>დიაგრამა 4: მიმდინარე ანგარიშის დეფიციტი</w:t>
      </w:r>
      <w:r w:rsidR="00D73B98" w:rsidRPr="00D73B98">
        <w:rPr>
          <w:rFonts w:ascii="Sylfaen" w:hAnsi="Sylfaen" w:cs="Segoe UI"/>
          <w:sz w:val="20"/>
          <w:szCs w:val="20"/>
        </w:rPr>
        <w:t xml:space="preserve">, </w:t>
      </w:r>
      <w:r w:rsidR="00D73B98" w:rsidRPr="00D73B98">
        <w:rPr>
          <w:rFonts w:ascii="Sylfaen" w:hAnsi="Sylfaen" w:cs="Segoe UI"/>
          <w:sz w:val="20"/>
          <w:szCs w:val="20"/>
          <w:lang w:val="ka-GE"/>
        </w:rPr>
        <w:t>%-ად მშპ-თან</w:t>
      </w:r>
    </w:p>
    <w:p w:rsidR="00947C0C" w:rsidRDefault="00A36E5C" w:rsidP="00544F05">
      <w:pPr>
        <w:tabs>
          <w:tab w:val="left" w:pos="900"/>
        </w:tabs>
        <w:spacing w:before="240" w:after="0" w:line="276" w:lineRule="auto"/>
        <w:jc w:val="center"/>
        <w:rPr>
          <w:rFonts w:ascii="Sylfaen" w:hAnsi="Sylfaen"/>
        </w:rPr>
      </w:pPr>
      <w:r>
        <w:rPr>
          <w:noProof/>
        </w:rPr>
        <w:drawing>
          <wp:inline distT="0" distB="0" distL="0" distR="0" wp14:anchorId="47862684" wp14:editId="0080829A">
            <wp:extent cx="6309360" cy="2343150"/>
            <wp:effectExtent l="0" t="0" r="0" b="0"/>
            <wp:docPr id="11" name="Chart 11">
              <a:extLst xmlns:a="http://schemas.openxmlformats.org/drawingml/2006/main">
                <a:ext uri="{FF2B5EF4-FFF2-40B4-BE49-F238E27FC236}">
                  <a16:creationId xmlns:a16="http://schemas.microsoft.com/office/drawing/2014/main" id="{6C5C77B3-1C66-4559-98CA-BA6C749F8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3B98" w:rsidRPr="0046611A" w:rsidRDefault="0046611A" w:rsidP="00544F05">
      <w:pPr>
        <w:pStyle w:val="Caption"/>
        <w:spacing w:before="240" w:line="276" w:lineRule="auto"/>
        <w:rPr>
          <w:rFonts w:asciiTheme="majorHAnsi" w:hAnsiTheme="majorHAnsi" w:cstheme="majorHAnsi"/>
          <w:iCs w:val="0"/>
          <w:noProof/>
          <w:sz w:val="14"/>
          <w:lang w:val="ka-GE"/>
        </w:rPr>
      </w:pPr>
      <w:r w:rsidRPr="0046611A">
        <w:rPr>
          <w:rFonts w:ascii="Sylfaen" w:hAnsi="Sylfaen" w:cs="Sylfaen"/>
          <w:iCs w:val="0"/>
          <w:sz w:val="14"/>
          <w:lang w:val="ka-GE"/>
        </w:rPr>
        <w:t xml:space="preserve">     </w:t>
      </w:r>
      <w:r w:rsidR="00D73B98" w:rsidRPr="0046611A">
        <w:rPr>
          <w:rFonts w:ascii="Sylfaen" w:hAnsi="Sylfaen" w:cs="Sylfaen"/>
          <w:iCs w:val="0"/>
          <w:sz w:val="14"/>
          <w:lang w:val="ka-GE"/>
        </w:rPr>
        <w:t>წყარო</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საქსტატი</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საქართველოს</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ფინანსთა</w:t>
      </w:r>
      <w:r w:rsidR="00D73B98" w:rsidRPr="0046611A">
        <w:rPr>
          <w:rFonts w:asciiTheme="majorHAnsi" w:hAnsiTheme="majorHAnsi" w:cstheme="majorHAnsi"/>
          <w:iCs w:val="0"/>
          <w:sz w:val="14"/>
          <w:lang w:val="ka-GE"/>
        </w:rPr>
        <w:t xml:space="preserve"> </w:t>
      </w:r>
      <w:r w:rsidR="00D73B98" w:rsidRPr="0046611A">
        <w:rPr>
          <w:rFonts w:ascii="Sylfaen" w:hAnsi="Sylfaen" w:cs="Sylfaen"/>
          <w:iCs w:val="0"/>
          <w:sz w:val="14"/>
          <w:lang w:val="ka-GE"/>
        </w:rPr>
        <w:t>სამინისტრო</w:t>
      </w:r>
    </w:p>
    <w:p w:rsidR="00C33EA6" w:rsidRPr="00FA1905" w:rsidRDefault="00C33EA6" w:rsidP="00544F05">
      <w:pPr>
        <w:spacing w:before="240" w:line="276" w:lineRule="auto"/>
      </w:pPr>
    </w:p>
    <w:p w:rsidR="000A4D4A" w:rsidRPr="005D4934" w:rsidRDefault="000A4D4A" w:rsidP="00544F05">
      <w:pPr>
        <w:pStyle w:val="Heading1"/>
        <w:numPr>
          <w:ilvl w:val="0"/>
          <w:numId w:val="4"/>
        </w:numPr>
        <w:spacing w:before="240" w:line="276" w:lineRule="auto"/>
        <w:ind w:left="360" w:hanging="360"/>
        <w:rPr>
          <w:b/>
          <w:bCs w:val="0"/>
          <w:sz w:val="28"/>
          <w:szCs w:val="28"/>
          <w:lang w:val="ka-GE"/>
        </w:rPr>
      </w:pPr>
      <w:r w:rsidRPr="005D4934">
        <w:rPr>
          <w:b/>
          <w:bCs w:val="0"/>
          <w:sz w:val="28"/>
          <w:szCs w:val="28"/>
          <w:lang w:val="ka-GE"/>
        </w:rPr>
        <w:t>საშუალოვადიანი პერიოდის ეკონომიკის განვითარების პერსპექტივები</w:t>
      </w:r>
    </w:p>
    <w:p w:rsidR="00C33EA6" w:rsidRDefault="005C1C0F" w:rsidP="00544F05">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უკრაინაში არსებული ომისა და რუსეთის მიმართ დაწესებული სანქციების გათვალისწინებით, მიმდინარე პერიოდში მსოფლიოში არსებული მდგომარეობიდან გამომდინარე მოსალოდნელია</w:t>
      </w:r>
      <w:r w:rsidR="002C6B8A">
        <w:rPr>
          <w:rFonts w:ascii="Sylfaen" w:hAnsi="Sylfaen" w:cs="Segoe UI"/>
          <w:sz w:val="20"/>
          <w:szCs w:val="20"/>
          <w:lang w:val="ka-GE"/>
        </w:rPr>
        <w:t xml:space="preserve"> 2023</w:t>
      </w:r>
      <w:r>
        <w:rPr>
          <w:rFonts w:ascii="Sylfaen" w:hAnsi="Sylfaen" w:cs="Segoe UI"/>
          <w:sz w:val="20"/>
          <w:szCs w:val="20"/>
          <w:lang w:val="ka-GE"/>
        </w:rPr>
        <w:t xml:space="preserve"> წელს ეკონომიკური აქტივობის შემცირება მთელ მსოფლიოში, რასაც ემატება მაღალი ინფლაცია ნავთობსა და საკვებ პროდუქტებზე. ამასთან, ამ ეტაპზე ეკონომიკის აღდგენასთან დაკავშირებით არსებული გაურკვევლობა არ იძლევა მკაფიო სურათს საშუალოვადიანი ეკონომიკური განვითარების პერსპექტივებთან დაკავშირებით</w:t>
      </w:r>
      <w:r w:rsidR="005E558E">
        <w:rPr>
          <w:rFonts w:ascii="Sylfaen" w:hAnsi="Sylfaen" w:cs="Segoe UI"/>
          <w:sz w:val="20"/>
          <w:szCs w:val="20"/>
          <w:lang w:val="ka-GE"/>
        </w:rPr>
        <w:t xml:space="preserve">, მიუხედავად იმისა, რომ ქვეყნებმა დაიწყეს ეკონომიკის აღდგენა </w:t>
      </w:r>
      <w:r w:rsidR="005E558E">
        <w:rPr>
          <w:rFonts w:ascii="Sylfaen" w:hAnsi="Sylfaen" w:cs="Segoe UI"/>
          <w:sz w:val="20"/>
          <w:szCs w:val="20"/>
        </w:rPr>
        <w:t xml:space="preserve">covid-19 </w:t>
      </w:r>
      <w:r w:rsidR="005E558E">
        <w:rPr>
          <w:rFonts w:ascii="Sylfaen" w:hAnsi="Sylfaen" w:cs="Segoe UI"/>
          <w:sz w:val="20"/>
          <w:szCs w:val="20"/>
          <w:lang w:val="ka-GE"/>
        </w:rPr>
        <w:t>პანდემიის შემდეგ</w:t>
      </w:r>
      <w:r>
        <w:rPr>
          <w:rFonts w:ascii="Sylfaen" w:hAnsi="Sylfaen" w:cs="Segoe UI"/>
          <w:sz w:val="20"/>
          <w:szCs w:val="20"/>
          <w:lang w:val="ka-GE"/>
        </w:rPr>
        <w:t xml:space="preserve">. </w:t>
      </w:r>
    </w:p>
    <w:p w:rsidR="00460051" w:rsidRDefault="00460051" w:rsidP="00544F05">
      <w:pPr>
        <w:spacing w:before="240" w:line="276" w:lineRule="auto"/>
        <w:ind w:firstLine="540"/>
        <w:jc w:val="both"/>
        <w:rPr>
          <w:rFonts w:ascii="Sylfaen" w:hAnsi="Sylfaen" w:cs="Segoe UI"/>
          <w:sz w:val="20"/>
          <w:szCs w:val="20"/>
        </w:rPr>
      </w:pPr>
    </w:p>
    <w:p w:rsidR="00806A24" w:rsidRDefault="00806A24" w:rsidP="00544F05">
      <w:pPr>
        <w:pStyle w:val="Heading1"/>
        <w:numPr>
          <w:ilvl w:val="0"/>
          <w:numId w:val="4"/>
        </w:numPr>
        <w:spacing w:before="240" w:line="276" w:lineRule="auto"/>
        <w:ind w:left="360" w:hanging="360"/>
        <w:rPr>
          <w:b/>
          <w:sz w:val="28"/>
          <w:szCs w:val="28"/>
          <w:lang w:val="ka-GE"/>
        </w:rPr>
      </w:pPr>
      <w:r w:rsidRPr="00954905">
        <w:rPr>
          <w:b/>
          <w:bCs w:val="0"/>
          <w:sz w:val="28"/>
          <w:szCs w:val="28"/>
          <w:lang w:val="ka-GE"/>
        </w:rPr>
        <w:t xml:space="preserve">წინა დოკუმენტში </w:t>
      </w:r>
      <w:r>
        <w:rPr>
          <w:b/>
          <w:bCs w:val="0"/>
          <w:sz w:val="28"/>
          <w:szCs w:val="28"/>
          <w:lang w:val="ka-GE"/>
        </w:rPr>
        <w:t xml:space="preserve">იდენტიფიცირებული რისკების ანალიზი </w:t>
      </w:r>
    </w:p>
    <w:p w:rsidR="00657927" w:rsidRPr="00190D83" w:rsidRDefault="00657927" w:rsidP="00544F05">
      <w:pPr>
        <w:pStyle w:val="Heading2"/>
        <w:spacing w:before="240" w:line="276" w:lineRule="auto"/>
      </w:pPr>
      <w:r w:rsidRPr="00190D83">
        <w:t xml:space="preserve">რისკების მატერიალიზაციის ანალიზი </w:t>
      </w:r>
    </w:p>
    <w:p w:rsidR="00FA0023" w:rsidRPr="00544F05" w:rsidRDefault="00FA0023" w:rsidP="00544F05">
      <w:pPr>
        <w:spacing w:before="240" w:line="276" w:lineRule="auto"/>
        <w:jc w:val="both"/>
        <w:rPr>
          <w:rFonts w:ascii="Sylfaen" w:hAnsi="Sylfaen"/>
          <w:sz w:val="20"/>
          <w:lang w:val="ka-GE"/>
        </w:rPr>
      </w:pPr>
      <w:r w:rsidRPr="00544F05">
        <w:rPr>
          <w:rFonts w:ascii="Sylfaen" w:hAnsi="Sylfaen"/>
          <w:sz w:val="20"/>
          <w:lang w:val="ka-GE"/>
        </w:rPr>
        <w:t>202</w:t>
      </w:r>
      <w:r w:rsidR="005E558E" w:rsidRPr="00544F05">
        <w:rPr>
          <w:rFonts w:ascii="Sylfaen" w:hAnsi="Sylfaen"/>
          <w:sz w:val="20"/>
          <w:lang w:val="ka-GE"/>
        </w:rPr>
        <w:t>2</w:t>
      </w:r>
      <w:r w:rsidRPr="00544F05">
        <w:rPr>
          <w:rFonts w:ascii="Sylfaen" w:hAnsi="Sylfaen"/>
          <w:sz w:val="20"/>
          <w:lang w:val="ka-GE"/>
        </w:rPr>
        <w:t xml:space="preserve"> წლის ბიუჯეტის კანონის</w:t>
      </w:r>
      <w:r w:rsidR="00114227">
        <w:rPr>
          <w:rFonts w:ascii="Sylfaen" w:hAnsi="Sylfaen"/>
          <w:sz w:val="20"/>
          <w:lang w:val="ka-GE"/>
        </w:rPr>
        <w:t xml:space="preserve"> </w:t>
      </w:r>
      <w:r w:rsidRPr="00544F05">
        <w:rPr>
          <w:rFonts w:ascii="Sylfaen" w:hAnsi="Sylfaen"/>
          <w:sz w:val="20"/>
          <w:lang w:val="ka-GE"/>
        </w:rPr>
        <w:t>თანდართულ</w:t>
      </w:r>
      <w:r w:rsidR="00E26B28">
        <w:rPr>
          <w:rFonts w:ascii="Sylfaen" w:hAnsi="Sylfaen"/>
          <w:sz w:val="20"/>
          <w:lang w:val="ka-GE"/>
        </w:rPr>
        <w:t>ი</w:t>
      </w:r>
      <w:r w:rsidRPr="00544F05">
        <w:rPr>
          <w:rFonts w:ascii="Sylfaen" w:hAnsi="Sylfaen"/>
          <w:sz w:val="20"/>
          <w:lang w:val="ka-GE"/>
        </w:rPr>
        <w:t xml:space="preserve"> სცენარების დოკუმენტში წარმოდგენილი</w:t>
      </w:r>
      <w:r w:rsidR="00440FFD" w:rsidRPr="00544F05">
        <w:rPr>
          <w:rFonts w:ascii="Sylfaen" w:hAnsi="Sylfaen"/>
          <w:sz w:val="20"/>
          <w:lang w:val="ka-GE"/>
        </w:rPr>
        <w:t xml:space="preserve"> შემდეგი რისკ ფაქტორები:</w:t>
      </w:r>
    </w:p>
    <w:p w:rsidR="00FA0023" w:rsidRPr="00544F05" w:rsidRDefault="00FA0023" w:rsidP="00544F05">
      <w:pPr>
        <w:pStyle w:val="ListParagraph"/>
        <w:numPr>
          <w:ilvl w:val="0"/>
          <w:numId w:val="27"/>
        </w:numPr>
        <w:spacing w:before="240" w:line="276" w:lineRule="auto"/>
        <w:jc w:val="both"/>
        <w:rPr>
          <w:rFonts w:ascii="Sylfaen" w:hAnsi="Sylfaen"/>
          <w:sz w:val="20"/>
          <w:lang w:val="ka-GE"/>
        </w:rPr>
      </w:pPr>
      <w:r w:rsidRPr="00544F05">
        <w:rPr>
          <w:rFonts w:ascii="Sylfaen" w:hAnsi="Sylfaen"/>
          <w:sz w:val="20"/>
          <w:lang w:val="ka-GE"/>
        </w:rPr>
        <w:t>პანდემიის გამწვავება</w:t>
      </w:r>
    </w:p>
    <w:p w:rsidR="005E558E" w:rsidRPr="00544F05" w:rsidRDefault="005E558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2021 წელს რეალიზდა აღნიშნული რისკი, ახალი შტამი</w:t>
      </w:r>
      <w:r w:rsidR="001C535E" w:rsidRPr="00544F05">
        <w:rPr>
          <w:rFonts w:ascii="Sylfaen" w:hAnsi="Sylfaen"/>
          <w:i/>
          <w:sz w:val="20"/>
          <w:lang w:val="ka-GE"/>
        </w:rPr>
        <w:t>სა</w:t>
      </w:r>
      <w:r w:rsidRPr="00544F05">
        <w:rPr>
          <w:rFonts w:ascii="Sylfaen" w:hAnsi="Sylfaen"/>
          <w:i/>
          <w:sz w:val="20"/>
          <w:lang w:val="ka-GE"/>
        </w:rPr>
        <w:t xml:space="preserve"> და დამატებით სოციალური დისტანცირების ღონისძიებების შემოღებამ </w:t>
      </w:r>
      <w:r w:rsidR="001C535E" w:rsidRPr="00544F05">
        <w:rPr>
          <w:rFonts w:ascii="Sylfaen" w:hAnsi="Sylfaen"/>
          <w:i/>
          <w:sz w:val="20"/>
          <w:lang w:val="ka-GE"/>
        </w:rPr>
        <w:t xml:space="preserve">უარყოფით გავლენა მოახდინა ეკონომიკურ აქტივობაზეც. </w:t>
      </w:r>
    </w:p>
    <w:p w:rsidR="00CD43B9" w:rsidRPr="00544F05" w:rsidRDefault="00CD43B9" w:rsidP="00544F05">
      <w:pPr>
        <w:spacing w:before="240" w:line="276" w:lineRule="auto"/>
        <w:ind w:left="360"/>
        <w:jc w:val="both"/>
        <w:rPr>
          <w:rFonts w:ascii="Sylfaen" w:hAnsi="Sylfaen"/>
          <w:i/>
          <w:sz w:val="20"/>
          <w:lang w:val="ka-GE"/>
        </w:rPr>
      </w:pPr>
      <w:r w:rsidRPr="00544F05">
        <w:rPr>
          <w:rFonts w:ascii="Sylfaen" w:hAnsi="Sylfaen"/>
          <w:i/>
          <w:sz w:val="20"/>
          <w:lang w:val="ka-GE"/>
        </w:rPr>
        <w:t>რაც შეეხება 2022 წელს, აღნიშნული რისკის მატერიალიზება</w:t>
      </w:r>
      <w:r w:rsidR="00AB24BB" w:rsidRPr="00544F05">
        <w:rPr>
          <w:rFonts w:ascii="Sylfaen" w:hAnsi="Sylfaen"/>
          <w:i/>
          <w:sz w:val="20"/>
          <w:lang w:val="ka-GE"/>
        </w:rPr>
        <w:t xml:space="preserve">ს ადგილი არ ჰქონია. </w:t>
      </w:r>
      <w:r w:rsidR="00F206B1" w:rsidRPr="00544F05">
        <w:rPr>
          <w:rFonts w:ascii="Sylfaen" w:hAnsi="Sylfaen"/>
          <w:i/>
          <w:sz w:val="20"/>
          <w:lang w:val="ka-GE"/>
        </w:rPr>
        <w:t xml:space="preserve">გაუქმდა დასაწებული შეზღუდვები სოციალურ დისტანცირებასთან დაკავშირებით, რამაც ხელი შეუწყო ეკონომიკური აქტივობის გაუმჯობესებას. </w:t>
      </w:r>
      <w:r w:rsidRPr="00544F05">
        <w:rPr>
          <w:rFonts w:ascii="Sylfaen" w:hAnsi="Sylfaen"/>
          <w:i/>
          <w:sz w:val="20"/>
          <w:lang w:val="ka-GE"/>
        </w:rPr>
        <w:t xml:space="preserve"> </w:t>
      </w:r>
    </w:p>
    <w:p w:rsidR="00440FFD" w:rsidRPr="00440FFD" w:rsidRDefault="00440FFD" w:rsidP="00544F05">
      <w:pPr>
        <w:spacing w:before="240" w:line="276" w:lineRule="auto"/>
        <w:ind w:left="720"/>
        <w:jc w:val="both"/>
        <w:rPr>
          <w:rFonts w:ascii="Sylfaen" w:hAnsi="Sylfaen"/>
          <w:i/>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ტურიზმის გლობალური სენტიმენტების გაუარესება</w:t>
      </w:r>
    </w:p>
    <w:p w:rsidR="001C535E" w:rsidRPr="00544F05" w:rsidRDefault="001C535E"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აღნიშნული შესაძლოა გამოეწვია დეგლობალიზაციურ ტენდენციებსა და ტრადიციული ტურისტული დანიშნულების ზრდას. თუმცა, მიუხედავად პანდემიისა, 2021 წელს </w:t>
      </w:r>
      <w:r w:rsidR="008E6401" w:rsidRPr="00544F05">
        <w:rPr>
          <w:rFonts w:ascii="Sylfaen" w:hAnsi="Sylfaen"/>
          <w:i/>
          <w:sz w:val="20"/>
          <w:lang w:val="ka-GE"/>
        </w:rPr>
        <w:t>ქვეყანაში ვიზიტორების რაოდენობა 22</w:t>
      </w:r>
      <w:r w:rsidR="00B53C44" w:rsidRPr="00544F05">
        <w:rPr>
          <w:rFonts w:ascii="Sylfaen" w:hAnsi="Sylfaen"/>
          <w:i/>
          <w:sz w:val="20"/>
          <w:lang w:val="ka-GE"/>
        </w:rPr>
        <w:t>%-ით</w:t>
      </w:r>
      <w:r w:rsidR="008E6401" w:rsidRPr="00544F05">
        <w:rPr>
          <w:rFonts w:ascii="Sylfaen" w:hAnsi="Sylfaen"/>
          <w:i/>
          <w:sz w:val="20"/>
          <w:lang w:val="ka-GE"/>
        </w:rPr>
        <w:t xml:space="preserve"> გაიზარდა წინა წელთან შედარებით, ხოლო ტურიზმიდან მიღებული შემოსავალი 130</w:t>
      </w:r>
      <w:r w:rsidR="00B53C44" w:rsidRPr="00D655E4">
        <w:rPr>
          <w:rFonts w:ascii="Sylfaen" w:hAnsi="Sylfaen"/>
          <w:i/>
          <w:sz w:val="20"/>
          <w:lang w:val="ka-GE"/>
        </w:rPr>
        <w:t>%-ით</w:t>
      </w:r>
      <w:r w:rsidR="008E6401" w:rsidRPr="00D655E4">
        <w:rPr>
          <w:rFonts w:ascii="Sylfaen" w:hAnsi="Sylfaen"/>
          <w:i/>
          <w:sz w:val="20"/>
          <w:lang w:val="ka-GE"/>
        </w:rPr>
        <w:t xml:space="preserve"> (თუმცა, 2019 წლის მდგომარეობასთან შედარებით, შემცირებულია </w:t>
      </w:r>
      <w:r w:rsidR="003653BF" w:rsidRPr="00D655E4">
        <w:rPr>
          <w:rFonts w:ascii="Sylfaen" w:hAnsi="Sylfaen"/>
          <w:i/>
          <w:sz w:val="20"/>
          <w:lang w:val="ka-GE"/>
        </w:rPr>
        <w:t>79 და 62</w:t>
      </w:r>
      <w:r w:rsidR="00B53C44" w:rsidRPr="00D655E4">
        <w:rPr>
          <w:rFonts w:ascii="Sylfaen" w:hAnsi="Sylfaen"/>
          <w:i/>
          <w:sz w:val="20"/>
          <w:lang w:val="ka-GE"/>
        </w:rPr>
        <w:t>%-ით</w:t>
      </w:r>
      <w:r w:rsidR="003653BF" w:rsidRPr="00D655E4">
        <w:rPr>
          <w:rFonts w:ascii="Sylfaen" w:hAnsi="Sylfaen"/>
          <w:i/>
          <w:sz w:val="20"/>
          <w:lang w:val="ka-GE"/>
        </w:rPr>
        <w:t xml:space="preserve">, შესაბამისად). </w:t>
      </w:r>
      <w:r w:rsidR="008E6401" w:rsidRPr="00D655E4">
        <w:rPr>
          <w:rFonts w:ascii="Sylfaen" w:hAnsi="Sylfaen"/>
          <w:i/>
          <w:sz w:val="20"/>
          <w:lang w:val="ka-GE"/>
        </w:rPr>
        <w:t xml:space="preserve"> </w:t>
      </w:r>
      <w:r w:rsidR="00F206B1" w:rsidRPr="00D655E4">
        <w:rPr>
          <w:rFonts w:ascii="Sylfaen" w:hAnsi="Sylfaen"/>
          <w:i/>
          <w:sz w:val="20"/>
          <w:lang w:val="ka-GE"/>
        </w:rPr>
        <w:t xml:space="preserve">2022 წლის </w:t>
      </w:r>
      <w:r w:rsidR="00B53C44" w:rsidRPr="00D655E4">
        <w:rPr>
          <w:rFonts w:ascii="Sylfaen" w:hAnsi="Sylfaen"/>
          <w:i/>
          <w:sz w:val="20"/>
          <w:lang w:val="ka-GE"/>
        </w:rPr>
        <w:t xml:space="preserve">მაჩვენებლები კიდევ უფრო გაუმჯობესებულია და პირველ </w:t>
      </w:r>
      <w:r w:rsidR="00DE2249">
        <w:rPr>
          <w:rFonts w:ascii="Sylfaen" w:hAnsi="Sylfaen"/>
          <w:i/>
          <w:sz w:val="20"/>
          <w:lang w:val="ka-GE"/>
        </w:rPr>
        <w:t>10</w:t>
      </w:r>
      <w:r w:rsidR="00B53C44" w:rsidRPr="00D655E4">
        <w:rPr>
          <w:rFonts w:ascii="Sylfaen" w:hAnsi="Sylfaen"/>
          <w:i/>
          <w:sz w:val="20"/>
          <w:lang w:val="ka-GE"/>
        </w:rPr>
        <w:t xml:space="preserve"> თვეში ვიზიტორების რაოდენობა</w:t>
      </w:r>
      <w:r w:rsidR="006D15E3" w:rsidRPr="00D655E4">
        <w:rPr>
          <w:rFonts w:ascii="Sylfaen" w:hAnsi="Sylfaen"/>
          <w:i/>
          <w:sz w:val="20"/>
          <w:lang w:val="ka-GE"/>
        </w:rPr>
        <w:t xml:space="preserve"> </w:t>
      </w:r>
      <w:r w:rsidR="00DE2249">
        <w:rPr>
          <w:rFonts w:ascii="Sylfaen" w:hAnsi="Sylfaen"/>
          <w:i/>
          <w:sz w:val="20"/>
        </w:rPr>
        <w:t>191</w:t>
      </w:r>
      <w:r w:rsidR="00B53C44" w:rsidRPr="00D655E4">
        <w:rPr>
          <w:rFonts w:ascii="Sylfaen" w:hAnsi="Sylfaen"/>
          <w:i/>
          <w:sz w:val="20"/>
          <w:lang w:val="ka-GE"/>
        </w:rPr>
        <w:t xml:space="preserve">%-ით არის გაზრდილი, </w:t>
      </w:r>
      <w:r w:rsidR="00D655E4" w:rsidRPr="00D655E4">
        <w:rPr>
          <w:rFonts w:ascii="Sylfaen" w:hAnsi="Sylfaen"/>
          <w:i/>
          <w:sz w:val="20"/>
          <w:lang w:val="ka-GE"/>
        </w:rPr>
        <w:t xml:space="preserve">ამავე პერიოდში </w:t>
      </w:r>
      <w:r w:rsidR="00B53C44" w:rsidRPr="00D655E4">
        <w:rPr>
          <w:rFonts w:ascii="Sylfaen" w:hAnsi="Sylfaen"/>
          <w:i/>
          <w:sz w:val="20"/>
          <w:lang w:val="ka-GE"/>
        </w:rPr>
        <w:t>ტურიზმიდან მიღებული შემოსავალი</w:t>
      </w:r>
      <w:r w:rsidR="00DE2249">
        <w:rPr>
          <w:rFonts w:ascii="Sylfaen" w:hAnsi="Sylfaen"/>
          <w:i/>
          <w:sz w:val="20"/>
        </w:rPr>
        <w:t xml:space="preserve"> </w:t>
      </w:r>
      <w:r w:rsidR="00DE2249">
        <w:rPr>
          <w:rFonts w:ascii="Sylfaen" w:hAnsi="Sylfaen"/>
          <w:i/>
          <w:sz w:val="20"/>
          <w:lang w:val="ka-GE"/>
        </w:rPr>
        <w:t>კი</w:t>
      </w:r>
      <w:r w:rsidR="00B53C44" w:rsidRPr="00D655E4">
        <w:rPr>
          <w:rFonts w:ascii="Sylfaen" w:hAnsi="Sylfaen"/>
          <w:i/>
          <w:sz w:val="20"/>
          <w:lang w:val="ka-GE"/>
        </w:rPr>
        <w:t xml:space="preserve"> </w:t>
      </w:r>
      <w:r w:rsidR="00EB3039" w:rsidRPr="00D655E4">
        <w:rPr>
          <w:rFonts w:ascii="Sylfaen" w:hAnsi="Sylfaen"/>
          <w:i/>
          <w:sz w:val="20"/>
          <w:lang w:val="ka-GE"/>
        </w:rPr>
        <w:t>გაზრდილია</w:t>
      </w:r>
      <w:r w:rsidR="006E3940" w:rsidRPr="00D655E4">
        <w:rPr>
          <w:rFonts w:ascii="Sylfaen" w:hAnsi="Sylfaen"/>
          <w:i/>
          <w:sz w:val="20"/>
          <w:lang w:val="ka-GE"/>
        </w:rPr>
        <w:t xml:space="preserve"> </w:t>
      </w:r>
      <w:r w:rsidR="00DE2249">
        <w:rPr>
          <w:rFonts w:ascii="Sylfaen" w:hAnsi="Sylfaen"/>
          <w:i/>
          <w:sz w:val="20"/>
          <w:lang w:val="ka-GE"/>
        </w:rPr>
        <w:t>183</w:t>
      </w:r>
      <w:r w:rsidR="00B53C44" w:rsidRPr="00D655E4">
        <w:rPr>
          <w:rFonts w:ascii="Sylfaen" w:hAnsi="Sylfaen"/>
          <w:i/>
          <w:sz w:val="20"/>
          <w:lang w:val="ka-GE"/>
        </w:rPr>
        <w:t>%-ით</w:t>
      </w:r>
      <w:r w:rsidR="00B53C44" w:rsidRPr="00D655E4">
        <w:rPr>
          <w:rFonts w:ascii="Sylfaen" w:hAnsi="Sylfaen"/>
          <w:i/>
          <w:sz w:val="20"/>
        </w:rPr>
        <w:t xml:space="preserve"> </w:t>
      </w:r>
      <w:r w:rsidR="00B53C44" w:rsidRPr="00D655E4">
        <w:rPr>
          <w:rFonts w:ascii="Sylfaen" w:hAnsi="Sylfaen"/>
          <w:i/>
          <w:sz w:val="20"/>
          <w:lang w:val="ka-GE"/>
        </w:rPr>
        <w:t>(</w:t>
      </w:r>
      <w:r w:rsidR="00B53C44" w:rsidRPr="00D655E4">
        <w:rPr>
          <w:rFonts w:ascii="Sylfaen" w:hAnsi="Sylfaen"/>
          <w:i/>
          <w:sz w:val="20"/>
        </w:rPr>
        <w:t xml:space="preserve">რაც </w:t>
      </w:r>
      <w:r w:rsidR="00D655E4" w:rsidRPr="00D655E4">
        <w:rPr>
          <w:rFonts w:ascii="Sylfaen" w:hAnsi="Sylfaen"/>
          <w:i/>
          <w:sz w:val="20"/>
          <w:lang w:val="ka-GE"/>
        </w:rPr>
        <w:t>შეეხება ცვლილებას</w:t>
      </w:r>
      <w:r w:rsidR="00B53C44" w:rsidRPr="00D655E4">
        <w:rPr>
          <w:rFonts w:ascii="Sylfaen" w:hAnsi="Sylfaen"/>
          <w:i/>
          <w:sz w:val="20"/>
        </w:rPr>
        <w:t xml:space="preserve"> </w:t>
      </w:r>
      <w:r w:rsidR="00B53C44" w:rsidRPr="00D655E4">
        <w:rPr>
          <w:rFonts w:ascii="Sylfaen" w:hAnsi="Sylfaen"/>
          <w:i/>
          <w:sz w:val="20"/>
          <w:lang w:val="ka-GE"/>
        </w:rPr>
        <w:t xml:space="preserve">2019 წლის </w:t>
      </w:r>
      <w:r w:rsidR="00EB3039" w:rsidRPr="00D655E4">
        <w:rPr>
          <w:rFonts w:ascii="Sylfaen" w:hAnsi="Sylfaen"/>
          <w:i/>
          <w:sz w:val="20"/>
          <w:lang w:val="ka-GE"/>
        </w:rPr>
        <w:t xml:space="preserve">იგივე პერიოდთან </w:t>
      </w:r>
      <w:r w:rsidR="00B53C44" w:rsidRPr="00D655E4">
        <w:rPr>
          <w:rFonts w:ascii="Sylfaen" w:hAnsi="Sylfaen"/>
          <w:i/>
          <w:sz w:val="20"/>
          <w:lang w:val="ka-GE"/>
        </w:rPr>
        <w:t>შედარებით</w:t>
      </w:r>
      <w:r w:rsidR="00D655E4" w:rsidRPr="00D655E4">
        <w:rPr>
          <w:rFonts w:ascii="Sylfaen" w:hAnsi="Sylfaen"/>
          <w:i/>
          <w:sz w:val="20"/>
          <w:lang w:val="ka-GE"/>
        </w:rPr>
        <w:t xml:space="preserve">, დაფიქსირდა </w:t>
      </w:r>
      <w:r w:rsidR="00B42C4C" w:rsidRPr="00D655E4">
        <w:rPr>
          <w:rFonts w:ascii="Sylfaen" w:hAnsi="Sylfaen"/>
          <w:i/>
          <w:sz w:val="20"/>
          <w:lang w:val="ka-GE"/>
        </w:rPr>
        <w:t>4</w:t>
      </w:r>
      <w:r w:rsidR="00DE2249">
        <w:rPr>
          <w:rFonts w:ascii="Sylfaen" w:hAnsi="Sylfaen"/>
          <w:i/>
          <w:sz w:val="20"/>
          <w:lang w:val="ka-GE"/>
        </w:rPr>
        <w:t>2%-ით კლება</w:t>
      </w:r>
      <w:r w:rsidR="00EB3039" w:rsidRPr="00D655E4">
        <w:rPr>
          <w:rFonts w:ascii="Sylfaen" w:hAnsi="Sylfaen"/>
          <w:i/>
          <w:sz w:val="20"/>
          <w:lang w:val="ka-GE"/>
        </w:rPr>
        <w:t xml:space="preserve"> და </w:t>
      </w:r>
      <w:r w:rsidR="00DE2249">
        <w:rPr>
          <w:rFonts w:ascii="Sylfaen" w:hAnsi="Sylfaen"/>
          <w:i/>
          <w:sz w:val="20"/>
          <w:lang w:val="ka-GE"/>
        </w:rPr>
        <w:t>0.2</w:t>
      </w:r>
      <w:r w:rsidR="00B53C44" w:rsidRPr="00D655E4">
        <w:rPr>
          <w:rFonts w:ascii="Sylfaen" w:hAnsi="Sylfaen"/>
          <w:i/>
          <w:sz w:val="20"/>
          <w:lang w:val="ka-GE"/>
        </w:rPr>
        <w:t xml:space="preserve">%-ით </w:t>
      </w:r>
      <w:r w:rsidR="00DE2249">
        <w:rPr>
          <w:rFonts w:ascii="Sylfaen" w:hAnsi="Sylfaen"/>
          <w:i/>
          <w:sz w:val="20"/>
          <w:lang w:val="ka-GE"/>
        </w:rPr>
        <w:t>ზრდა</w:t>
      </w:r>
      <w:r w:rsidR="00B53C44" w:rsidRPr="00D655E4">
        <w:rPr>
          <w:rFonts w:ascii="Sylfaen" w:hAnsi="Sylfaen"/>
          <w:i/>
          <w:sz w:val="20"/>
          <w:lang w:val="ka-GE"/>
        </w:rPr>
        <w:t>, შესაბამისად).</w:t>
      </w:r>
      <w:r w:rsidR="00B53C44" w:rsidRPr="00544F05">
        <w:rPr>
          <w:rFonts w:ascii="Sylfaen" w:hAnsi="Sylfaen"/>
          <w:i/>
          <w:sz w:val="20"/>
          <w:lang w:val="ka-GE"/>
        </w:rPr>
        <w:t xml:space="preserve"> </w:t>
      </w:r>
    </w:p>
    <w:p w:rsidR="00440FFD" w:rsidRPr="00440FFD" w:rsidRDefault="00440FFD" w:rsidP="00544F05">
      <w:pPr>
        <w:pStyle w:val="ListParagraph"/>
        <w:spacing w:before="240" w:line="276" w:lineRule="auto"/>
        <w:jc w:val="both"/>
        <w:rPr>
          <w:rFonts w:ascii="Sylfaen" w:hAnsi="Sylfaen"/>
          <w:i/>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სავაჭრო ბრუნვის შემცირება</w:t>
      </w:r>
    </w:p>
    <w:p w:rsidR="003653BF" w:rsidRPr="00544F05" w:rsidRDefault="003653BF" w:rsidP="00544F05">
      <w:pPr>
        <w:spacing w:before="240" w:line="276" w:lineRule="auto"/>
        <w:ind w:left="360" w:firstLine="360"/>
        <w:jc w:val="both"/>
        <w:rPr>
          <w:rFonts w:ascii="Sylfaen" w:hAnsi="Sylfaen"/>
          <w:i/>
          <w:sz w:val="20"/>
        </w:rPr>
      </w:pPr>
      <w:r w:rsidRPr="00544F05">
        <w:rPr>
          <w:rFonts w:ascii="Sylfaen" w:hAnsi="Sylfaen"/>
          <w:i/>
          <w:sz w:val="20"/>
          <w:lang w:val="ka-GE"/>
        </w:rPr>
        <w:t>გლობალური სავაჭრ</w:t>
      </w:r>
      <w:r w:rsidR="00186C4B" w:rsidRPr="00544F05">
        <w:rPr>
          <w:rFonts w:ascii="Sylfaen" w:hAnsi="Sylfaen"/>
          <w:i/>
          <w:sz w:val="20"/>
          <w:lang w:val="ka-GE"/>
        </w:rPr>
        <w:t>ო</w:t>
      </w:r>
      <w:r w:rsidRPr="00544F05">
        <w:rPr>
          <w:rFonts w:ascii="Sylfaen" w:hAnsi="Sylfaen"/>
          <w:i/>
          <w:sz w:val="20"/>
          <w:lang w:val="ka-GE"/>
        </w:rPr>
        <w:t xml:space="preserve"> ბრუნვის შემცირების რისკი არ რეალიზდა 2021 წელს. </w:t>
      </w:r>
      <w:r w:rsidR="00B8625D" w:rsidRPr="00544F05">
        <w:rPr>
          <w:rFonts w:ascii="Sylfaen" w:hAnsi="Sylfaen"/>
          <w:i/>
          <w:sz w:val="20"/>
          <w:lang w:val="ka-GE"/>
        </w:rPr>
        <w:t xml:space="preserve">აღსანიშნავია, რომ </w:t>
      </w:r>
      <w:r w:rsidR="00186C4B" w:rsidRPr="00544F05">
        <w:rPr>
          <w:rFonts w:ascii="Sylfaen" w:hAnsi="Sylfaen"/>
          <w:i/>
          <w:sz w:val="20"/>
          <w:lang w:val="ka-GE"/>
        </w:rPr>
        <w:t xml:space="preserve">2020 წელს სავაჭრო ბრუნვის შემცირების შემდეგ მისი გაუმჯობესება მოხდა მოსალოდნელზე უფრო სწრაფი ტემპებით. ამასთან, გაიზარდა საქართველოს სავაჭრო ბრუნვაც: 2021 წელს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ექსპორტის ზრდა დაფიქსირდა 27 და 12 პროცენტზე, 2020 და 2019 წლებთან შედარებით, შესაბამისად. ხოლო </w:t>
      </w:r>
      <w:r w:rsidR="00876B60" w:rsidRPr="00544F05">
        <w:rPr>
          <w:rFonts w:ascii="Sylfaen" w:hAnsi="Sylfaen"/>
          <w:i/>
          <w:sz w:val="20"/>
          <w:lang w:val="ka-GE"/>
        </w:rPr>
        <w:t xml:space="preserve">საქონლის </w:t>
      </w:r>
      <w:r w:rsidR="00186C4B" w:rsidRPr="00544F05">
        <w:rPr>
          <w:rFonts w:ascii="Sylfaen" w:hAnsi="Sylfaen"/>
          <w:i/>
          <w:sz w:val="20"/>
          <w:lang w:val="ka-GE"/>
        </w:rPr>
        <w:t xml:space="preserve">იმპორტი გაზრდილია </w:t>
      </w:r>
      <w:r w:rsidR="009E436A" w:rsidRPr="00544F05">
        <w:rPr>
          <w:rFonts w:ascii="Sylfaen" w:hAnsi="Sylfaen"/>
          <w:i/>
          <w:sz w:val="20"/>
          <w:lang w:val="ka-GE"/>
        </w:rPr>
        <w:t xml:space="preserve">25 და 6 პროცენტით, შესაბამისად 2020 და 2019 წლებთან შედარებით. </w:t>
      </w:r>
      <w:r w:rsidR="00EB3039" w:rsidRPr="00544F05">
        <w:rPr>
          <w:rFonts w:ascii="Sylfaen" w:hAnsi="Sylfaen"/>
          <w:i/>
          <w:sz w:val="20"/>
          <w:lang w:val="ka-GE"/>
        </w:rPr>
        <w:t xml:space="preserve">გლობალური სავაჭრო ბრუნვა გაზრდილია 2022 წელსაც, </w:t>
      </w:r>
      <w:r w:rsidR="00876B60" w:rsidRPr="00544F05">
        <w:rPr>
          <w:rFonts w:ascii="Sylfaen" w:hAnsi="Sylfaen"/>
          <w:i/>
          <w:sz w:val="20"/>
          <w:lang w:val="ka-GE"/>
        </w:rPr>
        <w:t xml:space="preserve">პირველ </w:t>
      </w:r>
      <w:r w:rsidR="00CD4B49">
        <w:rPr>
          <w:rFonts w:ascii="Sylfaen" w:hAnsi="Sylfaen"/>
          <w:i/>
          <w:sz w:val="20"/>
          <w:lang w:val="ka-GE"/>
        </w:rPr>
        <w:t>10</w:t>
      </w:r>
      <w:r w:rsidR="00876B60" w:rsidRPr="00544F05">
        <w:rPr>
          <w:rFonts w:ascii="Sylfaen" w:hAnsi="Sylfaen"/>
          <w:i/>
          <w:sz w:val="20"/>
          <w:lang w:val="ka-GE"/>
        </w:rPr>
        <w:t xml:space="preserve"> თვეში საქონლის ექსპორტი 3</w:t>
      </w:r>
      <w:r w:rsidR="00CD4B49">
        <w:rPr>
          <w:rFonts w:ascii="Sylfaen" w:hAnsi="Sylfaen"/>
          <w:i/>
          <w:sz w:val="20"/>
          <w:lang w:val="ka-GE"/>
        </w:rPr>
        <w:t>4</w:t>
      </w:r>
      <w:r w:rsidR="001F56FB">
        <w:rPr>
          <w:rFonts w:ascii="Sylfaen" w:hAnsi="Sylfaen"/>
          <w:i/>
          <w:sz w:val="20"/>
          <w:lang w:val="ka-GE"/>
        </w:rPr>
        <w:t>.</w:t>
      </w:r>
      <w:r w:rsidR="00CD4B49">
        <w:rPr>
          <w:rFonts w:ascii="Sylfaen" w:hAnsi="Sylfaen"/>
          <w:i/>
          <w:sz w:val="20"/>
          <w:lang w:val="ka-GE"/>
        </w:rPr>
        <w:t>0</w:t>
      </w:r>
      <w:r w:rsidR="00876B60" w:rsidRPr="00544F05">
        <w:rPr>
          <w:rFonts w:ascii="Sylfaen" w:hAnsi="Sylfaen"/>
          <w:i/>
          <w:sz w:val="20"/>
          <w:lang w:val="ka-GE"/>
        </w:rPr>
        <w:t>%-ით გაიზარდა, ხოლო საქონლის იმპორტის ზრდამ</w:t>
      </w:r>
      <w:r w:rsidR="001F56FB">
        <w:rPr>
          <w:rFonts w:ascii="Sylfaen" w:hAnsi="Sylfaen"/>
          <w:i/>
          <w:sz w:val="20"/>
          <w:lang w:val="ka-GE"/>
        </w:rPr>
        <w:t xml:space="preserve"> 3</w:t>
      </w:r>
      <w:r w:rsidR="00CD4B49">
        <w:rPr>
          <w:rFonts w:ascii="Sylfaen" w:hAnsi="Sylfaen"/>
          <w:i/>
          <w:sz w:val="20"/>
        </w:rPr>
        <w:t>3</w:t>
      </w:r>
      <w:r w:rsidR="001F56FB">
        <w:rPr>
          <w:rFonts w:ascii="Sylfaen" w:hAnsi="Sylfaen"/>
          <w:i/>
          <w:sz w:val="20"/>
          <w:lang w:val="ka-GE"/>
        </w:rPr>
        <w:t>.</w:t>
      </w:r>
      <w:r w:rsidR="00CD4B49">
        <w:rPr>
          <w:rFonts w:ascii="Sylfaen" w:hAnsi="Sylfaen"/>
          <w:i/>
          <w:sz w:val="20"/>
          <w:lang w:val="ka-GE"/>
        </w:rPr>
        <w:t>3</w:t>
      </w:r>
      <w:r w:rsidR="00876B60" w:rsidRPr="00544F05">
        <w:rPr>
          <w:rFonts w:ascii="Sylfaen" w:hAnsi="Sylfaen"/>
          <w:i/>
          <w:sz w:val="20"/>
          <w:lang w:val="ka-GE"/>
        </w:rPr>
        <w:t xml:space="preserve">% შეადგინა. </w:t>
      </w:r>
    </w:p>
    <w:p w:rsidR="00FE5396" w:rsidRPr="00FE5396" w:rsidRDefault="00FE5396" w:rsidP="00544F05">
      <w:pPr>
        <w:spacing w:before="240" w:line="276" w:lineRule="auto"/>
        <w:ind w:left="360"/>
        <w:jc w:val="both"/>
        <w:rPr>
          <w:rFonts w:ascii="Sylfaen" w:hAnsi="Sylfaen"/>
          <w:lang w:val="ka-GE"/>
        </w:rPr>
      </w:pPr>
    </w:p>
    <w:p w:rsidR="00FA0023" w:rsidRP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რეგიონული რისკები</w:t>
      </w:r>
    </w:p>
    <w:p w:rsidR="009E436A" w:rsidRPr="00544F05" w:rsidRDefault="009E436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აღსანიშნავია, რომ ჩვენ მიერ იდენტიფიცირებული რეგიონული რისკები ეხებოდა როგორც ეკონომიკური, ასევე - პოლიტიკური ხასიათის რისკებს და </w:t>
      </w:r>
      <w:r w:rsidR="00FA1905" w:rsidRPr="00544F05">
        <w:rPr>
          <w:rFonts w:ascii="Sylfaen" w:hAnsi="Sylfaen"/>
          <w:i/>
          <w:sz w:val="20"/>
          <w:lang w:val="ka-GE"/>
        </w:rPr>
        <w:t>გამომწვევ მიზეზებად სახელდებოდა</w:t>
      </w:r>
      <w:r w:rsidR="003F22E3" w:rsidRPr="00544F05">
        <w:rPr>
          <w:rFonts w:ascii="Sylfaen" w:hAnsi="Sylfaen"/>
          <w:i/>
          <w:sz w:val="20"/>
          <w:lang w:val="ka-GE"/>
        </w:rPr>
        <w:t xml:space="preserve"> როგორც ნავთობსა და ნედლეულზე </w:t>
      </w:r>
      <w:r w:rsidR="00C11A8E" w:rsidRPr="00544F05">
        <w:rPr>
          <w:rFonts w:ascii="Sylfaen" w:hAnsi="Sylfaen"/>
          <w:i/>
          <w:sz w:val="20"/>
          <w:lang w:val="ka-GE"/>
        </w:rPr>
        <w:t xml:space="preserve">ქვეყნების დამოკიდებულება, ასევე </w:t>
      </w:r>
      <w:r w:rsidR="00FA1905" w:rsidRPr="00544F05">
        <w:rPr>
          <w:rFonts w:ascii="Sylfaen" w:hAnsi="Sylfaen"/>
          <w:i/>
          <w:sz w:val="20"/>
          <w:lang w:val="ka-GE"/>
        </w:rPr>
        <w:t xml:space="preserve">- </w:t>
      </w:r>
      <w:r w:rsidR="00C11A8E" w:rsidRPr="00544F05">
        <w:rPr>
          <w:rFonts w:ascii="Sylfaen" w:hAnsi="Sylfaen"/>
          <w:i/>
          <w:sz w:val="20"/>
          <w:lang w:val="ka-GE"/>
        </w:rPr>
        <w:t>პოლიტიკურ</w:t>
      </w:r>
      <w:r w:rsidR="006B23BE">
        <w:rPr>
          <w:rFonts w:ascii="Sylfaen" w:hAnsi="Sylfaen"/>
          <w:i/>
          <w:sz w:val="20"/>
          <w:lang w:val="ka-GE"/>
        </w:rPr>
        <w:t>ი</w:t>
      </w:r>
      <w:r w:rsidR="00C11A8E" w:rsidRPr="00544F05">
        <w:rPr>
          <w:rFonts w:ascii="Sylfaen" w:hAnsi="Sylfaen"/>
          <w:i/>
          <w:sz w:val="20"/>
          <w:lang w:val="ka-GE"/>
        </w:rPr>
        <w:t xml:space="preserve"> პრობლემე</w:t>
      </w:r>
      <w:r w:rsidR="00FA1905" w:rsidRPr="00544F05">
        <w:rPr>
          <w:rFonts w:ascii="Sylfaen" w:hAnsi="Sylfaen"/>
          <w:i/>
          <w:sz w:val="20"/>
          <w:lang w:val="ka-GE"/>
        </w:rPr>
        <w:t>ბი</w:t>
      </w:r>
      <w:r w:rsidR="00C11A8E" w:rsidRPr="00544F05">
        <w:rPr>
          <w:rFonts w:ascii="Sylfaen" w:hAnsi="Sylfaen"/>
          <w:i/>
          <w:sz w:val="20"/>
          <w:lang w:val="ka-GE"/>
        </w:rPr>
        <w:t xml:space="preserve"> და არამდგარობ</w:t>
      </w:r>
      <w:r w:rsidR="00FA1905" w:rsidRPr="00544F05">
        <w:rPr>
          <w:rFonts w:ascii="Sylfaen" w:hAnsi="Sylfaen"/>
          <w:i/>
          <w:sz w:val="20"/>
          <w:lang w:val="ka-GE"/>
        </w:rPr>
        <w:t>ა</w:t>
      </w:r>
      <w:r w:rsidR="00C11A8E" w:rsidRPr="00544F05">
        <w:rPr>
          <w:rFonts w:ascii="Sylfaen" w:hAnsi="Sylfaen"/>
          <w:i/>
          <w:sz w:val="20"/>
          <w:lang w:val="ka-GE"/>
        </w:rPr>
        <w:t xml:space="preserve">. </w:t>
      </w:r>
      <w:r w:rsidR="001F47D8" w:rsidRPr="00544F05">
        <w:rPr>
          <w:rFonts w:ascii="Sylfaen" w:hAnsi="Sylfaen"/>
          <w:i/>
          <w:sz w:val="20"/>
          <w:lang w:val="ka-GE"/>
        </w:rPr>
        <w:t xml:space="preserve">მიუხედავად 2021 წელს არსებული გეოპოლიტიკური დაძაბულობისა, შეგვიძლია ვთქვათ რომ აღნიშნული რისკის რეალიზება არ მომხდარა.  </w:t>
      </w:r>
    </w:p>
    <w:p w:rsidR="002B687A" w:rsidRPr="00544F05" w:rsidRDefault="002B687A"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2022 წელს რეგიონული რისკები რეალიზდა, </w:t>
      </w:r>
      <w:r w:rsidR="00727134" w:rsidRPr="00544F05">
        <w:rPr>
          <w:rFonts w:ascii="Sylfaen" w:hAnsi="Sylfaen"/>
          <w:i/>
          <w:sz w:val="20"/>
          <w:lang w:val="ka-GE"/>
        </w:rPr>
        <w:t xml:space="preserve">რაც დაიწყო თებერვლის ბოლოს რუსეთის მიერ უკრაინაში შეჭრით. </w:t>
      </w:r>
      <w:r w:rsidR="00353804" w:rsidRPr="00544F05">
        <w:rPr>
          <w:rFonts w:ascii="Sylfaen" w:hAnsi="Sylfaen"/>
          <w:i/>
          <w:sz w:val="20"/>
          <w:lang w:val="ka-GE"/>
        </w:rPr>
        <w:t xml:space="preserve">რუსეთ-უკრაინის ომმა უარყოფითი </w:t>
      </w:r>
      <w:r w:rsidR="00D87457" w:rsidRPr="00544F05">
        <w:rPr>
          <w:rFonts w:ascii="Sylfaen" w:hAnsi="Sylfaen"/>
          <w:i/>
          <w:sz w:val="20"/>
          <w:lang w:val="ka-GE"/>
        </w:rPr>
        <w:t xml:space="preserve">გავლენა </w:t>
      </w:r>
      <w:r w:rsidR="00353804" w:rsidRPr="00544F05">
        <w:rPr>
          <w:rFonts w:ascii="Sylfaen" w:hAnsi="Sylfaen"/>
          <w:i/>
          <w:sz w:val="20"/>
          <w:lang w:val="ka-GE"/>
        </w:rPr>
        <w:t xml:space="preserve">მოახდინა მსოფლიოს ეკონომიკური განვითარების პერსპექტივებზე. ამასთან, რუსეთის მიმართ დაწესდა სანქციები და გაიზარდა სურსათსა და ნავთობპროდუქტებზე მსოფლიო ფასები. როგორც 2022 წლის ბიუჯეტის კანონის თანდართულ სცენარების დოკუმენტში იყო აღნიშნული, რეგიონული რისკების გამომწვევი ერთ-ერთ ფაქტორს წარმოადგენს როგორც გაყინული კონფლიქტები, ასევე - ქვეყნების დამოკიდებულება ნავთობსა და სხვა ნედლეულ პროდუქტებზე, რაც მიმდინარე წელს რეალიზდა. რეგიონში არსებული ომისა და გაზრდილი გაურკვევლობის გამო, მოსალოდნელია ინვესტორების განწყობის გაუარესება რეგიონის ქვეყნების და მათ შორის, საქართველოს მიმართ. </w:t>
      </w:r>
    </w:p>
    <w:p w:rsidR="00FE5396" w:rsidRPr="00FE5396" w:rsidRDefault="00FE5396" w:rsidP="00544F05">
      <w:pPr>
        <w:spacing w:before="240" w:line="276" w:lineRule="auto"/>
        <w:ind w:left="360"/>
        <w:jc w:val="both"/>
        <w:rPr>
          <w:rFonts w:ascii="Sylfaen" w:hAnsi="Sylfaen"/>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გაზრდილი გლობალური ვალი</w:t>
      </w:r>
    </w:p>
    <w:p w:rsidR="001F47D8" w:rsidRPr="00544F05" w:rsidRDefault="001F47D8"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აღნიშნული რისკი. პანდემიისა და თანმდევი ეკონომიკური ღონისძიებების შედეგად გაიზარდა მთავრობის ვალი და ბიუჯეტის დეფიტიცი, თუმცა, როგორც მოსალოდნელი იყო, ქვეყნებმა აქტიურად დაიწყეს ფისკალური კონსოლიდაცია, რამაც არ წარმოქმნა გაზრდილი გლობალური ვალიდან მომდინარე დამატებითი რისკები. </w:t>
      </w:r>
      <w:r w:rsidR="003071FB" w:rsidRPr="00544F05">
        <w:rPr>
          <w:rFonts w:ascii="Sylfaen" w:hAnsi="Sylfaen"/>
          <w:i/>
          <w:sz w:val="20"/>
          <w:lang w:val="ka-GE"/>
        </w:rPr>
        <w:t xml:space="preserve">ვალის შემცირება/დასტაბილურების აღნიშნული ტენდენცია გრძელდება 2022 წელსაც და არ არის მოსალოდნელი მისგან გამოწვეული დაბატებითი რისკების წარმოქმნა. </w:t>
      </w:r>
    </w:p>
    <w:p w:rsidR="00FE5396" w:rsidRPr="00FE5396" w:rsidRDefault="00FE5396" w:rsidP="00544F05">
      <w:pPr>
        <w:spacing w:before="240" w:line="276" w:lineRule="auto"/>
        <w:ind w:left="360"/>
        <w:jc w:val="both"/>
        <w:rPr>
          <w:rFonts w:ascii="Sylfaen" w:hAnsi="Sylfaen"/>
          <w:lang w:val="ka-GE"/>
        </w:rPr>
      </w:pPr>
    </w:p>
    <w:p w:rsidR="00FA0023" w:rsidRDefault="00FA0023" w:rsidP="00544F05">
      <w:pPr>
        <w:pStyle w:val="ListParagraph"/>
        <w:numPr>
          <w:ilvl w:val="0"/>
          <w:numId w:val="27"/>
        </w:numPr>
        <w:spacing w:before="240" w:line="276" w:lineRule="auto"/>
        <w:jc w:val="both"/>
        <w:rPr>
          <w:rFonts w:ascii="Sylfaen" w:hAnsi="Sylfaen"/>
          <w:lang w:val="ka-GE"/>
        </w:rPr>
      </w:pPr>
      <w:r w:rsidRPr="00FA0023">
        <w:rPr>
          <w:rFonts w:ascii="Sylfaen" w:hAnsi="Sylfaen"/>
          <w:lang w:val="ka-GE"/>
        </w:rPr>
        <w:t>გლობალური მომხმ</w:t>
      </w:r>
      <w:r w:rsidR="00670F7C">
        <w:rPr>
          <w:rFonts w:ascii="Sylfaen" w:hAnsi="Sylfaen"/>
          <w:lang w:val="ka-GE"/>
        </w:rPr>
        <w:t>ა</w:t>
      </w:r>
      <w:r w:rsidRPr="00FA0023">
        <w:rPr>
          <w:rFonts w:ascii="Sylfaen" w:hAnsi="Sylfaen"/>
          <w:lang w:val="ka-GE"/>
        </w:rPr>
        <w:t>რებელთა ქცევა</w:t>
      </w:r>
    </w:p>
    <w:p w:rsidR="00670F7C" w:rsidRPr="00544F05" w:rsidRDefault="00670F7C"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არ რეალიზდა გლობალურად მომხმარებელთა სენტიმენტების შემცირებისა და მათი ქცევის ცვლილების რისკი. </w:t>
      </w:r>
      <w:r w:rsidR="006232F7" w:rsidRPr="00544F05">
        <w:rPr>
          <w:rFonts w:ascii="Sylfaen" w:hAnsi="Sylfaen"/>
          <w:i/>
          <w:sz w:val="20"/>
          <w:lang w:val="ka-GE"/>
        </w:rPr>
        <w:t xml:space="preserve">აღნიშნული რისკი გულისხმობდა მოხმარების შემცირებასა და დანაზოგების სასურველი დონის აღდგენაზე აქცენტის გაკეთებას. აღსანიშნავია, რომ გაზრდილია მოხმარების დონე, რაც ნაწილობრივ აისახება საქართველოდან ექსპორტის მაჩვენებელზე (გაიზარდა 2021 წელს როგორც 2020, ასევე - 2019 წელთან შედარებით). </w:t>
      </w:r>
      <w:r w:rsidR="00AB2B94" w:rsidRPr="00544F05">
        <w:rPr>
          <w:rFonts w:ascii="Sylfaen" w:hAnsi="Sylfaen"/>
          <w:i/>
          <w:sz w:val="20"/>
          <w:lang w:val="ka-GE"/>
        </w:rPr>
        <w:t xml:space="preserve">მომხმარებელთა სენტიმენტების შემცირების რისკი არ რეალიზდა ასევე 2022 წელს, რაც გამოიხატება სავაჭრო ბრუნვისა და მოხმარების ზრდით. </w:t>
      </w:r>
    </w:p>
    <w:p w:rsidR="00FE5396" w:rsidRPr="00FE5396" w:rsidRDefault="00FE5396" w:rsidP="00544F05">
      <w:pPr>
        <w:spacing w:before="240" w:line="276" w:lineRule="auto"/>
        <w:ind w:left="360"/>
        <w:jc w:val="both"/>
        <w:rPr>
          <w:rFonts w:ascii="Sylfaen" w:hAnsi="Sylfaen"/>
          <w:lang w:val="ka-GE"/>
        </w:rPr>
      </w:pPr>
    </w:p>
    <w:p w:rsidR="006232F7" w:rsidRDefault="006232F7" w:rsidP="00544F05">
      <w:pPr>
        <w:pStyle w:val="ListParagraph"/>
        <w:numPr>
          <w:ilvl w:val="0"/>
          <w:numId w:val="27"/>
        </w:numPr>
        <w:spacing w:before="240" w:line="276" w:lineRule="auto"/>
        <w:jc w:val="both"/>
        <w:rPr>
          <w:rFonts w:ascii="Sylfaen" w:hAnsi="Sylfaen"/>
          <w:lang w:val="ka-GE"/>
        </w:rPr>
      </w:pPr>
      <w:r>
        <w:rPr>
          <w:rFonts w:ascii="Sylfaen" w:hAnsi="Sylfaen"/>
          <w:lang w:val="ka-GE"/>
        </w:rPr>
        <w:t xml:space="preserve">მონეტარული პოლიტიკის გლობალური გამკაცრება </w:t>
      </w:r>
    </w:p>
    <w:p w:rsidR="00B6423F" w:rsidRPr="00544F05" w:rsidRDefault="006232F7"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 xml:space="preserve">როგორც </w:t>
      </w:r>
      <w:r w:rsidR="00002D5F" w:rsidRPr="00544F05">
        <w:rPr>
          <w:rFonts w:ascii="Sylfaen" w:hAnsi="Sylfaen"/>
          <w:i/>
          <w:sz w:val="20"/>
          <w:lang w:val="ka-GE"/>
        </w:rPr>
        <w:t xml:space="preserve">მონეტარული პოლიტიკის გლობალური გამკაცრების </w:t>
      </w:r>
      <w:r w:rsidRPr="00544F05">
        <w:rPr>
          <w:rFonts w:ascii="Sylfaen" w:hAnsi="Sylfaen"/>
          <w:i/>
          <w:sz w:val="20"/>
          <w:lang w:val="ka-GE"/>
        </w:rPr>
        <w:t xml:space="preserve">რისკის ანალიზში იყო ნავარაუდები, ნედლეულსა და ნავთობზე ფასების ზრდისა და პანდემიის შედეგად არსებული ფისკალური სტიმულების გამო გაიზარდა ინფლაციური წნეხი 2021 წლისთვის. </w:t>
      </w:r>
      <w:r w:rsidR="00F8714D" w:rsidRPr="00544F05">
        <w:rPr>
          <w:rFonts w:ascii="Sylfaen" w:hAnsi="Sylfaen"/>
          <w:i/>
          <w:sz w:val="20"/>
          <w:lang w:val="ka-GE"/>
        </w:rPr>
        <w:t xml:space="preserve">შედეგად, მოსალოდნელი იყო შერბილებული მონეტარული პოლიტიკიდან გამოსვლა, რაც რისკს წარმოადგენს საქართველოს გაცვლით კურსსა და ინფლაციაზე, მაღალი დოლარიზაციიდან გამომდინარე.  </w:t>
      </w:r>
    </w:p>
    <w:p w:rsidR="00A93015" w:rsidRPr="00544F05" w:rsidRDefault="00002D5F" w:rsidP="00544F05">
      <w:pPr>
        <w:spacing w:before="240" w:line="276" w:lineRule="auto"/>
        <w:ind w:left="360" w:firstLine="360"/>
        <w:jc w:val="both"/>
        <w:rPr>
          <w:rFonts w:ascii="Sylfaen" w:hAnsi="Sylfaen"/>
          <w:i/>
          <w:sz w:val="20"/>
          <w:lang w:val="ka-GE"/>
        </w:rPr>
      </w:pPr>
      <w:r w:rsidRPr="00544F05">
        <w:rPr>
          <w:rFonts w:ascii="Sylfaen" w:hAnsi="Sylfaen"/>
          <w:i/>
          <w:sz w:val="20"/>
          <w:lang w:val="ka-GE"/>
        </w:rPr>
        <w:t>აღსანიშნავია, რომ</w:t>
      </w:r>
      <w:r w:rsidR="00FE5396" w:rsidRPr="00544F05">
        <w:rPr>
          <w:rFonts w:ascii="Sylfaen" w:hAnsi="Sylfaen"/>
          <w:i/>
          <w:sz w:val="20"/>
          <w:lang w:val="ka-GE"/>
        </w:rPr>
        <w:t xml:space="preserve"> მონეტარული პოლიტიკის გამკაცრების მოლოდინების რეალიზება სრულად არ მოხდა 2021 წელს</w:t>
      </w:r>
      <w:r w:rsidR="00AB2B94" w:rsidRPr="00544F05">
        <w:rPr>
          <w:rFonts w:ascii="Sylfaen" w:hAnsi="Sylfaen"/>
          <w:i/>
          <w:sz w:val="20"/>
          <w:lang w:val="ka-GE"/>
        </w:rPr>
        <w:t>, თუმცა აღნიშნული რისკი მატ</w:t>
      </w:r>
      <w:r w:rsidR="00061BB4" w:rsidRPr="00544F05">
        <w:rPr>
          <w:rFonts w:ascii="Sylfaen" w:hAnsi="Sylfaen"/>
          <w:i/>
          <w:sz w:val="20"/>
          <w:lang w:val="ka-GE"/>
        </w:rPr>
        <w:t>ერიალიზდ</w:t>
      </w:r>
      <w:r w:rsidR="00AB2B94" w:rsidRPr="00544F05">
        <w:rPr>
          <w:rFonts w:ascii="Sylfaen" w:hAnsi="Sylfaen"/>
          <w:i/>
          <w:sz w:val="20"/>
          <w:lang w:val="ka-GE"/>
        </w:rPr>
        <w:t>ა 2022 წელს</w:t>
      </w:r>
      <w:r w:rsidR="00A93015" w:rsidRPr="00544F05">
        <w:rPr>
          <w:rFonts w:ascii="Sylfaen" w:hAnsi="Sylfaen"/>
          <w:i/>
          <w:sz w:val="20"/>
          <w:lang w:val="ka-GE"/>
        </w:rPr>
        <w:t>. მაგალითად, ინგლისის ბანკმა განაკვეთი გაზარდა</w:t>
      </w:r>
      <w:r w:rsidR="00061BB4" w:rsidRPr="00544F05">
        <w:rPr>
          <w:rFonts w:ascii="Sylfaen" w:hAnsi="Sylfaen"/>
          <w:i/>
          <w:sz w:val="20"/>
        </w:rPr>
        <w:t xml:space="preserve"> </w:t>
      </w:r>
      <w:r w:rsidR="00061BB4" w:rsidRPr="00544F05">
        <w:rPr>
          <w:rFonts w:ascii="Sylfaen" w:hAnsi="Sylfaen"/>
          <w:i/>
          <w:sz w:val="20"/>
          <w:lang w:val="ka-GE"/>
        </w:rPr>
        <w:t>როგორც</w:t>
      </w:r>
      <w:r w:rsidR="00A93015" w:rsidRPr="00544F05">
        <w:rPr>
          <w:rFonts w:ascii="Sylfaen" w:hAnsi="Sylfaen"/>
          <w:i/>
          <w:sz w:val="20"/>
          <w:lang w:val="ka-GE"/>
        </w:rPr>
        <w:t xml:space="preserve"> 2021 წლის დეკემბერში </w:t>
      </w:r>
      <w:r w:rsidR="00061BB4" w:rsidRPr="00544F05">
        <w:rPr>
          <w:rFonts w:ascii="Sylfaen" w:hAnsi="Sylfaen"/>
          <w:i/>
          <w:sz w:val="20"/>
          <w:lang w:val="ka-GE"/>
        </w:rPr>
        <w:t>(</w:t>
      </w:r>
      <w:r w:rsidR="00A93015" w:rsidRPr="00544F05">
        <w:rPr>
          <w:rFonts w:ascii="Sylfaen" w:hAnsi="Sylfaen"/>
          <w:i/>
          <w:sz w:val="20"/>
          <w:lang w:val="ka-GE"/>
        </w:rPr>
        <w:t>0.25 პ</w:t>
      </w:r>
      <w:r w:rsidR="00061BB4" w:rsidRPr="00544F05">
        <w:rPr>
          <w:rFonts w:ascii="Sylfaen" w:hAnsi="Sylfaen"/>
          <w:i/>
          <w:sz w:val="20"/>
          <w:lang w:val="ka-GE"/>
        </w:rPr>
        <w:t>.პ-</w:t>
      </w:r>
      <w:r w:rsidR="00A93015" w:rsidRPr="00544F05">
        <w:rPr>
          <w:rFonts w:ascii="Sylfaen" w:hAnsi="Sylfaen"/>
          <w:i/>
          <w:sz w:val="20"/>
          <w:lang w:val="ka-GE"/>
        </w:rPr>
        <w:t>ით</w:t>
      </w:r>
      <w:r w:rsidR="00061BB4" w:rsidRPr="00544F05">
        <w:rPr>
          <w:rFonts w:ascii="Sylfaen" w:hAnsi="Sylfaen"/>
          <w:i/>
          <w:sz w:val="20"/>
          <w:lang w:val="ka-GE"/>
        </w:rPr>
        <w:t>)</w:t>
      </w:r>
      <w:r w:rsidR="00D33BB6" w:rsidRPr="00544F05">
        <w:rPr>
          <w:rFonts w:ascii="Sylfaen" w:hAnsi="Sylfaen"/>
          <w:i/>
          <w:sz w:val="20"/>
          <w:lang w:val="ka-GE"/>
        </w:rPr>
        <w:t xml:space="preserve">, </w:t>
      </w:r>
      <w:r w:rsidR="00061BB4" w:rsidRPr="00544F05">
        <w:rPr>
          <w:rFonts w:ascii="Sylfaen" w:hAnsi="Sylfaen"/>
          <w:i/>
          <w:sz w:val="20"/>
          <w:lang w:val="ka-GE"/>
        </w:rPr>
        <w:t xml:space="preserve">ასევე </w:t>
      </w:r>
      <w:r w:rsidR="00A93015" w:rsidRPr="00544F05">
        <w:rPr>
          <w:rFonts w:ascii="Sylfaen" w:hAnsi="Sylfaen"/>
          <w:i/>
          <w:sz w:val="20"/>
          <w:lang w:val="ka-GE"/>
        </w:rPr>
        <w:t xml:space="preserve">2022 წელს </w:t>
      </w:r>
      <w:r w:rsidR="00061BB4" w:rsidRPr="00544F05">
        <w:rPr>
          <w:rFonts w:ascii="Sylfaen" w:hAnsi="Sylfaen"/>
          <w:i/>
          <w:sz w:val="20"/>
          <w:lang w:val="ka-GE"/>
        </w:rPr>
        <w:t xml:space="preserve">რამდენჯერმე და </w:t>
      </w:r>
      <w:r w:rsidR="00D2043D">
        <w:rPr>
          <w:rFonts w:ascii="Sylfaen" w:hAnsi="Sylfaen"/>
          <w:i/>
          <w:sz w:val="20"/>
          <w:lang w:val="ka-GE"/>
        </w:rPr>
        <w:t>ნო</w:t>
      </w:r>
      <w:r w:rsidR="00572542">
        <w:rPr>
          <w:rFonts w:ascii="Sylfaen" w:hAnsi="Sylfaen"/>
          <w:i/>
          <w:sz w:val="20"/>
          <w:lang w:val="ka-GE"/>
        </w:rPr>
        <w:t>ემბრის</w:t>
      </w:r>
      <w:r w:rsidR="00061BB4" w:rsidRPr="00544F05">
        <w:rPr>
          <w:rFonts w:ascii="Sylfaen" w:hAnsi="Sylfaen"/>
          <w:i/>
          <w:sz w:val="20"/>
          <w:lang w:val="ka-GE"/>
        </w:rPr>
        <w:t xml:space="preserve"> ბოლოს საპროცენტო განაკვეთი</w:t>
      </w:r>
      <w:r w:rsidR="00753BF8">
        <w:rPr>
          <w:rFonts w:ascii="Sylfaen" w:hAnsi="Sylfaen"/>
          <w:i/>
          <w:sz w:val="20"/>
          <w:lang w:val="ka-GE"/>
        </w:rPr>
        <w:t xml:space="preserve"> </w:t>
      </w:r>
      <w:r w:rsidR="00D2043D">
        <w:rPr>
          <w:rFonts w:ascii="Sylfaen" w:hAnsi="Sylfaen"/>
          <w:i/>
          <w:sz w:val="20"/>
          <w:lang w:val="ka-GE"/>
        </w:rPr>
        <w:t>3</w:t>
      </w:r>
      <w:r w:rsidR="00753BF8">
        <w:rPr>
          <w:rFonts w:ascii="Sylfaen" w:hAnsi="Sylfaen"/>
          <w:i/>
          <w:sz w:val="20"/>
          <w:lang w:val="ka-GE"/>
        </w:rPr>
        <w:t>.</w:t>
      </w:r>
      <w:r w:rsidR="00D2043D">
        <w:rPr>
          <w:rFonts w:ascii="Sylfaen" w:hAnsi="Sylfaen"/>
          <w:i/>
          <w:sz w:val="20"/>
          <w:lang w:val="ka-GE"/>
        </w:rPr>
        <w:t>0</w:t>
      </w:r>
      <w:r w:rsidR="00061BB4" w:rsidRPr="00544F05">
        <w:rPr>
          <w:rFonts w:ascii="Sylfaen" w:hAnsi="Sylfaen"/>
          <w:i/>
          <w:sz w:val="20"/>
          <w:lang w:val="ka-GE"/>
        </w:rPr>
        <w:t>%-ს შეადგენს</w:t>
      </w:r>
      <w:r w:rsidR="00753BF8">
        <w:rPr>
          <w:rFonts w:ascii="Sylfaen" w:hAnsi="Sylfaen"/>
          <w:i/>
          <w:sz w:val="20"/>
          <w:lang w:val="ka-GE"/>
        </w:rPr>
        <w:t>.</w:t>
      </w:r>
      <w:r w:rsidR="00D33BB6" w:rsidRPr="00544F05">
        <w:rPr>
          <w:rFonts w:ascii="Sylfaen" w:hAnsi="Sylfaen"/>
          <w:i/>
          <w:sz w:val="20"/>
          <w:lang w:val="ka-GE"/>
        </w:rPr>
        <w:t xml:space="preserve"> ევროპის ცენტრალურმა ბანკმა საპროცენტო განაკვეთი </w:t>
      </w:r>
      <w:r w:rsidR="00061BB4" w:rsidRPr="00544F05">
        <w:rPr>
          <w:rFonts w:ascii="Sylfaen" w:hAnsi="Sylfaen"/>
          <w:i/>
          <w:sz w:val="20"/>
          <w:lang w:val="ka-GE"/>
        </w:rPr>
        <w:t xml:space="preserve">თავდაპირველად </w:t>
      </w:r>
      <w:r w:rsidR="00D33BB6" w:rsidRPr="00544F05">
        <w:rPr>
          <w:rFonts w:ascii="Sylfaen" w:hAnsi="Sylfaen"/>
          <w:i/>
          <w:sz w:val="20"/>
          <w:lang w:val="ka-GE"/>
        </w:rPr>
        <w:t>უცვლელ დონეზე დატოვა</w:t>
      </w:r>
      <w:r w:rsidR="00D2043D">
        <w:rPr>
          <w:rFonts w:ascii="Sylfaen" w:hAnsi="Sylfaen"/>
          <w:i/>
          <w:sz w:val="20"/>
          <w:lang w:val="ka-GE"/>
        </w:rPr>
        <w:t>,</w:t>
      </w:r>
      <w:r w:rsidR="00753BF8">
        <w:rPr>
          <w:rFonts w:ascii="Sylfaen" w:hAnsi="Sylfaen"/>
          <w:i/>
          <w:sz w:val="20"/>
          <w:lang w:val="ka-GE"/>
        </w:rPr>
        <w:t xml:space="preserve"> თუმცა </w:t>
      </w:r>
      <w:r w:rsidR="00D2043D">
        <w:rPr>
          <w:rFonts w:ascii="Sylfaen" w:hAnsi="Sylfaen"/>
          <w:i/>
          <w:sz w:val="20"/>
          <w:lang w:val="ka-GE"/>
        </w:rPr>
        <w:t xml:space="preserve">მესამე კვარტლიდან რამდენჯერმე </w:t>
      </w:r>
      <w:r w:rsidR="00753BF8">
        <w:rPr>
          <w:rFonts w:ascii="Sylfaen" w:hAnsi="Sylfaen"/>
          <w:i/>
          <w:sz w:val="20"/>
          <w:lang w:val="ka-GE"/>
        </w:rPr>
        <w:t>გაზარდა</w:t>
      </w:r>
      <w:r w:rsidR="00061BB4" w:rsidRPr="00544F05">
        <w:rPr>
          <w:rFonts w:ascii="Sylfaen" w:hAnsi="Sylfaen"/>
          <w:i/>
          <w:sz w:val="20"/>
        </w:rPr>
        <w:t xml:space="preserve"> </w:t>
      </w:r>
      <w:r w:rsidR="00753BF8">
        <w:rPr>
          <w:rFonts w:ascii="Sylfaen" w:hAnsi="Sylfaen"/>
          <w:i/>
          <w:sz w:val="20"/>
          <w:lang w:val="ka-GE"/>
        </w:rPr>
        <w:t xml:space="preserve">და 2012 წლის შემდეგ პირველად </w:t>
      </w:r>
      <w:r w:rsidR="00D2043D">
        <w:rPr>
          <w:rFonts w:ascii="Sylfaen" w:hAnsi="Sylfaen"/>
          <w:i/>
          <w:sz w:val="20"/>
          <w:lang w:val="ka-GE"/>
        </w:rPr>
        <w:t>მიაღწია 2</w:t>
      </w:r>
      <w:r w:rsidR="00753BF8">
        <w:rPr>
          <w:rFonts w:ascii="Sylfaen" w:hAnsi="Sylfaen"/>
          <w:i/>
          <w:sz w:val="20"/>
          <w:lang w:val="ka-GE"/>
        </w:rPr>
        <w:t>.</w:t>
      </w:r>
      <w:r w:rsidR="00D2043D">
        <w:rPr>
          <w:rFonts w:ascii="Sylfaen" w:hAnsi="Sylfaen"/>
          <w:i/>
          <w:sz w:val="20"/>
          <w:lang w:val="ka-GE"/>
        </w:rPr>
        <w:t>0</w:t>
      </w:r>
      <w:r w:rsidR="00753BF8">
        <w:rPr>
          <w:rFonts w:ascii="Sylfaen" w:hAnsi="Sylfaen"/>
          <w:i/>
          <w:sz w:val="20"/>
          <w:lang w:val="ka-GE"/>
        </w:rPr>
        <w:t>%-ს</w:t>
      </w:r>
      <w:r w:rsidR="00061BB4" w:rsidRPr="00544F05">
        <w:rPr>
          <w:rFonts w:ascii="Sylfaen" w:hAnsi="Sylfaen"/>
          <w:i/>
          <w:sz w:val="20"/>
          <w:lang w:val="ka-GE"/>
        </w:rPr>
        <w:t xml:space="preserve">. რაც შეეხება აშშ-ს, </w:t>
      </w:r>
      <w:r w:rsidR="00D33BB6" w:rsidRPr="00544F05">
        <w:rPr>
          <w:rFonts w:ascii="Sylfaen" w:hAnsi="Sylfaen"/>
          <w:i/>
          <w:sz w:val="20"/>
          <w:lang w:val="ka-GE"/>
        </w:rPr>
        <w:t>ცენტრალურმა ბანკმა საპროცენტო განაკვეთი</w:t>
      </w:r>
      <w:r w:rsidR="00B6423F" w:rsidRPr="00544F05">
        <w:rPr>
          <w:rFonts w:ascii="Sylfaen" w:hAnsi="Sylfaen"/>
          <w:i/>
          <w:sz w:val="20"/>
        </w:rPr>
        <w:t xml:space="preserve"> </w:t>
      </w:r>
      <w:r w:rsidR="00572542">
        <w:rPr>
          <w:rFonts w:ascii="Sylfaen" w:hAnsi="Sylfaen"/>
          <w:i/>
          <w:sz w:val="20"/>
          <w:lang w:val="ka-GE"/>
        </w:rPr>
        <w:t>რამდენჯერმე</w:t>
      </w:r>
      <w:r w:rsidR="00B6423F" w:rsidRPr="00544F05">
        <w:rPr>
          <w:rFonts w:ascii="Sylfaen" w:hAnsi="Sylfaen"/>
          <w:i/>
          <w:sz w:val="20"/>
          <w:lang w:val="ka-GE"/>
        </w:rPr>
        <w:t xml:space="preserve"> გაზარდა 2022 წელს,</w:t>
      </w:r>
      <w:r w:rsidR="00D33BB6" w:rsidRPr="00544F05">
        <w:rPr>
          <w:rFonts w:ascii="Sylfaen" w:hAnsi="Sylfaen"/>
          <w:i/>
          <w:sz w:val="20"/>
          <w:lang w:val="ka-GE"/>
        </w:rPr>
        <w:t xml:space="preserve"> </w:t>
      </w:r>
      <w:r w:rsidR="00572542">
        <w:rPr>
          <w:rFonts w:ascii="Sylfaen" w:hAnsi="Sylfaen"/>
          <w:i/>
          <w:sz w:val="20"/>
          <w:lang w:val="ka-GE"/>
        </w:rPr>
        <w:t xml:space="preserve">თავდაპირველად </w:t>
      </w:r>
      <w:r w:rsidR="00D33BB6" w:rsidRPr="00544F05">
        <w:rPr>
          <w:rFonts w:ascii="Sylfaen" w:hAnsi="Sylfaen"/>
          <w:i/>
          <w:sz w:val="20"/>
          <w:lang w:val="ka-GE"/>
        </w:rPr>
        <w:t xml:space="preserve">0.25-დან 0.50 პროცენტამდე </w:t>
      </w:r>
      <w:r w:rsidR="00B6423F" w:rsidRPr="00544F05">
        <w:rPr>
          <w:rFonts w:ascii="Sylfaen" w:hAnsi="Sylfaen"/>
          <w:i/>
          <w:sz w:val="20"/>
          <w:lang w:val="ka-GE"/>
        </w:rPr>
        <w:t>2</w:t>
      </w:r>
      <w:r w:rsidR="00D33BB6" w:rsidRPr="00544F05">
        <w:rPr>
          <w:rFonts w:ascii="Sylfaen" w:hAnsi="Sylfaen"/>
          <w:i/>
          <w:sz w:val="20"/>
          <w:lang w:val="ka-GE"/>
        </w:rPr>
        <w:t>022 წლის მარტში</w:t>
      </w:r>
      <w:r w:rsidR="00B6423F" w:rsidRPr="00544F05">
        <w:rPr>
          <w:rFonts w:ascii="Sylfaen" w:hAnsi="Sylfaen"/>
          <w:i/>
          <w:sz w:val="20"/>
          <w:lang w:val="ka-GE"/>
        </w:rPr>
        <w:t xml:space="preserve">, </w:t>
      </w:r>
      <w:r w:rsidR="00572542">
        <w:rPr>
          <w:rFonts w:ascii="Sylfaen" w:hAnsi="Sylfaen"/>
          <w:i/>
          <w:sz w:val="20"/>
          <w:lang w:val="ka-GE"/>
        </w:rPr>
        <w:t xml:space="preserve">ხოლო ბოლოს </w:t>
      </w:r>
      <w:r w:rsidR="009E70B2">
        <w:rPr>
          <w:rFonts w:ascii="Sylfaen" w:hAnsi="Sylfaen"/>
          <w:i/>
          <w:sz w:val="20"/>
          <w:lang w:val="ka-GE"/>
        </w:rPr>
        <w:t>ნო</w:t>
      </w:r>
      <w:r w:rsidR="00572542">
        <w:rPr>
          <w:rFonts w:ascii="Sylfaen" w:hAnsi="Sylfaen"/>
          <w:i/>
          <w:sz w:val="20"/>
          <w:lang w:val="ka-GE"/>
        </w:rPr>
        <w:t xml:space="preserve">ემბერში და </w:t>
      </w:r>
      <w:r w:rsidR="009E70B2">
        <w:rPr>
          <w:rFonts w:ascii="Sylfaen" w:hAnsi="Sylfaen"/>
          <w:i/>
          <w:sz w:val="20"/>
          <w:lang w:val="ka-GE"/>
        </w:rPr>
        <w:t>ნოემ</w:t>
      </w:r>
      <w:r w:rsidR="00572542">
        <w:rPr>
          <w:rFonts w:ascii="Sylfaen" w:hAnsi="Sylfaen"/>
          <w:i/>
          <w:sz w:val="20"/>
          <w:lang w:val="ka-GE"/>
        </w:rPr>
        <w:t>ბრის ბოლოს მდგომარეობით</w:t>
      </w:r>
      <w:r w:rsidR="009E70B2">
        <w:rPr>
          <w:rFonts w:ascii="Sylfaen" w:hAnsi="Sylfaen"/>
          <w:i/>
          <w:sz w:val="20"/>
          <w:lang w:val="ka-GE"/>
        </w:rPr>
        <w:t xml:space="preserve"> 3.7</w:t>
      </w:r>
      <w:r w:rsidR="00572542">
        <w:rPr>
          <w:rFonts w:ascii="Sylfaen" w:hAnsi="Sylfaen"/>
          <w:i/>
          <w:sz w:val="20"/>
          <w:lang w:val="ka-GE"/>
        </w:rPr>
        <w:t>5</w:t>
      </w:r>
      <w:r w:rsidR="009E70B2">
        <w:rPr>
          <w:rFonts w:ascii="Sylfaen" w:hAnsi="Sylfaen"/>
          <w:i/>
          <w:sz w:val="20"/>
          <w:lang w:val="ka-GE"/>
        </w:rPr>
        <w:t>-4.0%-ს</w:t>
      </w:r>
      <w:r w:rsidR="00572542">
        <w:rPr>
          <w:rFonts w:ascii="Sylfaen" w:hAnsi="Sylfaen"/>
          <w:i/>
          <w:sz w:val="20"/>
          <w:lang w:val="ka-GE"/>
        </w:rPr>
        <w:t xml:space="preserve"> პროცენტს შეადგენს</w:t>
      </w:r>
      <w:r w:rsidR="001F56FB">
        <w:rPr>
          <w:rFonts w:ascii="Sylfaen" w:hAnsi="Sylfaen"/>
          <w:i/>
          <w:sz w:val="20"/>
          <w:lang w:val="ka-GE"/>
        </w:rPr>
        <w:t xml:space="preserve"> </w:t>
      </w:r>
      <w:r w:rsidR="00D33BB6" w:rsidRPr="00544F05">
        <w:rPr>
          <w:rFonts w:ascii="Sylfaen" w:hAnsi="Sylfaen"/>
          <w:i/>
          <w:sz w:val="20"/>
          <w:lang w:val="ka-GE"/>
        </w:rPr>
        <w:t xml:space="preserve">. </w:t>
      </w:r>
    </w:p>
    <w:p w:rsidR="00FA0023" w:rsidRPr="005074EE" w:rsidRDefault="00FA0023" w:rsidP="00544F05">
      <w:pPr>
        <w:pStyle w:val="ListParagraph"/>
        <w:spacing w:before="240" w:line="276" w:lineRule="auto"/>
        <w:ind w:left="1260"/>
        <w:jc w:val="both"/>
        <w:rPr>
          <w:rFonts w:ascii="Sylfaen" w:hAnsi="Sylfaen"/>
          <w:lang w:val="ka-GE"/>
        </w:rPr>
      </w:pPr>
    </w:p>
    <w:p w:rsidR="00657927" w:rsidRPr="00657927" w:rsidRDefault="00657927" w:rsidP="00544F05">
      <w:pPr>
        <w:pStyle w:val="Heading2"/>
        <w:spacing w:before="240" w:line="276" w:lineRule="auto"/>
      </w:pPr>
      <w:r>
        <w:t xml:space="preserve">პოლიტიკის პასუხების ანალიზი </w:t>
      </w:r>
    </w:p>
    <w:p w:rsidR="009E2E9F" w:rsidRPr="00544F05" w:rsidRDefault="00004DED" w:rsidP="00544F05">
      <w:pPr>
        <w:spacing w:before="240" w:line="276" w:lineRule="auto"/>
        <w:ind w:left="360" w:firstLine="360"/>
        <w:jc w:val="both"/>
        <w:rPr>
          <w:rFonts w:ascii="Sylfaen" w:hAnsi="Sylfaen"/>
          <w:sz w:val="20"/>
          <w:lang w:val="ka-GE"/>
        </w:rPr>
      </w:pPr>
      <w:r w:rsidRPr="00544F05">
        <w:rPr>
          <w:rFonts w:ascii="Sylfaen" w:hAnsi="Sylfaen"/>
          <w:sz w:val="20"/>
          <w:lang w:val="ka-GE"/>
        </w:rPr>
        <w:t>ეკონომ</w:t>
      </w:r>
      <w:r w:rsidR="00D33BB6" w:rsidRPr="00544F05">
        <w:rPr>
          <w:rFonts w:ascii="Sylfaen" w:hAnsi="Sylfaen"/>
          <w:sz w:val="20"/>
          <w:lang w:val="ka-GE"/>
        </w:rPr>
        <w:t>ი</w:t>
      </w:r>
      <w:r w:rsidRPr="00544F05">
        <w:rPr>
          <w:rFonts w:ascii="Sylfaen" w:hAnsi="Sylfaen"/>
          <w:sz w:val="20"/>
          <w:lang w:val="ka-GE"/>
        </w:rPr>
        <w:t>კის სწრაფი აღდგენის ტენდენციამ გაზარდა საგადას</w:t>
      </w:r>
      <w:r w:rsidR="006C28C8" w:rsidRPr="00544F05">
        <w:rPr>
          <w:rFonts w:ascii="Sylfaen" w:hAnsi="Sylfaen"/>
          <w:sz w:val="20"/>
          <w:lang w:val="ka-GE"/>
        </w:rPr>
        <w:t>ა</w:t>
      </w:r>
      <w:r w:rsidRPr="00544F05">
        <w:rPr>
          <w:rFonts w:ascii="Sylfaen" w:hAnsi="Sylfaen"/>
          <w:sz w:val="20"/>
          <w:lang w:val="ka-GE"/>
        </w:rPr>
        <w:t xml:space="preserve">ხადო შემოსავლები და ბიუჯეტის რესურსი. გაზრდილი რესურსის </w:t>
      </w:r>
      <w:r w:rsidR="00A4270D" w:rsidRPr="00544F05">
        <w:rPr>
          <w:rFonts w:ascii="Sylfaen" w:hAnsi="Sylfaen"/>
          <w:sz w:val="20"/>
          <w:lang w:val="ka-GE"/>
        </w:rPr>
        <w:t>ნაწილი</w:t>
      </w:r>
      <w:r w:rsidRPr="00544F05">
        <w:rPr>
          <w:rFonts w:ascii="Sylfaen" w:hAnsi="Sylfaen"/>
          <w:sz w:val="20"/>
          <w:lang w:val="ka-GE"/>
        </w:rPr>
        <w:t xml:space="preserve"> მიმართულ</w:t>
      </w:r>
      <w:r w:rsidR="00D33BB6" w:rsidRPr="00544F05">
        <w:rPr>
          <w:rFonts w:ascii="Sylfaen" w:hAnsi="Sylfaen"/>
          <w:sz w:val="20"/>
          <w:lang w:val="ka-GE"/>
        </w:rPr>
        <w:t>ია</w:t>
      </w:r>
      <w:r w:rsidRPr="00544F05">
        <w:rPr>
          <w:rFonts w:ascii="Sylfaen" w:hAnsi="Sylfaen"/>
          <w:sz w:val="20"/>
          <w:lang w:val="ka-GE"/>
        </w:rPr>
        <w:t xml:space="preserve"> კონსოლიდაციის პროცესის დაჩქარებისაკენ, ხოლო ნაწილი მოხმარდა ჯანდაცვისა და კაპიტალურ ხარჯებს. </w:t>
      </w:r>
      <w:r w:rsidR="006C28C8" w:rsidRPr="00544F05">
        <w:rPr>
          <w:rFonts w:ascii="Sylfaen" w:hAnsi="Sylfaen"/>
          <w:sz w:val="20"/>
          <w:lang w:val="ka-GE"/>
        </w:rPr>
        <w:t xml:space="preserve">აღსანიშნავია, რომ </w:t>
      </w:r>
      <w:r w:rsidRPr="00544F05">
        <w:rPr>
          <w:rFonts w:ascii="Sylfaen" w:hAnsi="Sylfaen"/>
          <w:sz w:val="20"/>
          <w:lang w:val="ka-GE"/>
        </w:rPr>
        <w:t>კაპიტალური ხარჯების დაჩქარება მომავალშიც ხელს შეუწყობს აღდგენის პროცესის დაჩქარებას.</w:t>
      </w:r>
    </w:p>
    <w:p w:rsidR="000A4D4A" w:rsidRDefault="00F729C6" w:rsidP="00544F05">
      <w:pPr>
        <w:tabs>
          <w:tab w:val="left" w:pos="900"/>
        </w:tabs>
        <w:spacing w:before="240" w:line="276" w:lineRule="auto"/>
        <w:rPr>
          <w:rFonts w:ascii="Sylfaen" w:hAnsi="Sylfaen"/>
          <w:lang w:val="ka-GE"/>
        </w:rPr>
      </w:pPr>
      <w:r>
        <w:rPr>
          <w:rFonts w:ascii="Sylfaen" w:hAnsi="Sylfaen"/>
          <w:lang w:val="ka-GE"/>
        </w:rPr>
        <w:tab/>
      </w:r>
    </w:p>
    <w:p w:rsidR="000A4D4A" w:rsidRPr="009E09E1" w:rsidRDefault="000A4D4A" w:rsidP="00544F05">
      <w:pPr>
        <w:pStyle w:val="Heading1"/>
        <w:numPr>
          <w:ilvl w:val="0"/>
          <w:numId w:val="4"/>
        </w:numPr>
        <w:spacing w:before="240" w:line="276" w:lineRule="auto"/>
        <w:ind w:left="360" w:hanging="360"/>
        <w:rPr>
          <w:b/>
          <w:bCs w:val="0"/>
          <w:sz w:val="28"/>
          <w:szCs w:val="28"/>
          <w:lang w:val="ka-GE"/>
        </w:rPr>
      </w:pPr>
      <w:r w:rsidRPr="009E09E1">
        <w:rPr>
          <w:b/>
          <w:bCs w:val="0"/>
          <w:sz w:val="28"/>
          <w:szCs w:val="28"/>
          <w:lang w:val="ka-GE"/>
        </w:rPr>
        <w:t>საშუალოვადიანი პერიოდის რისკები</w:t>
      </w:r>
    </w:p>
    <w:p w:rsidR="00D51654" w:rsidRPr="00D51654" w:rsidRDefault="00D51654" w:rsidP="00544F05">
      <w:pPr>
        <w:spacing w:before="240" w:line="276" w:lineRule="auto"/>
        <w:ind w:firstLine="540"/>
        <w:jc w:val="both"/>
        <w:rPr>
          <w:rFonts w:ascii="Sylfaen" w:hAnsi="Sylfaen" w:cs="Sylfaen"/>
          <w:sz w:val="20"/>
          <w:lang w:val="ka-GE"/>
        </w:rPr>
      </w:pPr>
      <w:r>
        <w:rPr>
          <w:rFonts w:ascii="Sylfaen" w:hAnsi="Sylfaen" w:cs="Sylfaen"/>
          <w:sz w:val="20"/>
          <w:lang w:val="ka-GE"/>
        </w:rPr>
        <w:t>პოსტპანდემიურ პერიოდ</w:t>
      </w:r>
      <w:r w:rsidR="0028768D">
        <w:rPr>
          <w:rFonts w:ascii="Sylfaen" w:hAnsi="Sylfaen" w:cs="Sylfaen"/>
          <w:sz w:val="20"/>
          <w:lang w:val="ka-GE"/>
        </w:rPr>
        <w:t>სა და რუსეთ-უკრაინის ომიდან გამომდინარე არსებული გაურკვეველი მდგომარეობის გამო</w:t>
      </w:r>
      <w:r w:rsidR="006C28C8">
        <w:rPr>
          <w:rFonts w:ascii="Sylfaen" w:hAnsi="Sylfaen" w:cs="Sylfaen"/>
          <w:sz w:val="20"/>
          <w:lang w:val="ka-GE"/>
        </w:rPr>
        <w:t>,</w:t>
      </w:r>
      <w:r w:rsidR="0028768D">
        <w:rPr>
          <w:rFonts w:ascii="Sylfaen" w:hAnsi="Sylfaen" w:cs="Sylfaen"/>
          <w:sz w:val="20"/>
          <w:lang w:val="ka-GE"/>
        </w:rPr>
        <w:t xml:space="preserve"> </w:t>
      </w:r>
      <w:r>
        <w:rPr>
          <w:rFonts w:ascii="Sylfaen" w:hAnsi="Sylfaen" w:cs="Sylfaen"/>
          <w:sz w:val="20"/>
          <w:lang w:val="ka-GE"/>
        </w:rPr>
        <w:t xml:space="preserve">განსაკუთრებით მნიშვნელოვანია რისკ-ფაქტორების ანალიზი. ამის მიზეზი ერთი მხრივ ისაა, რომ </w:t>
      </w:r>
      <w:r w:rsidR="0028768D">
        <w:rPr>
          <w:rFonts w:ascii="Sylfaen" w:hAnsi="Sylfaen" w:cs="Sylfaen"/>
          <w:sz w:val="20"/>
          <w:lang w:val="ka-GE"/>
        </w:rPr>
        <w:t xml:space="preserve">საქართველოს ეკონომიკა დამოკიდებულია რუსეთსა და უკრაინაზე როგორც სავაჭრო, ასევე - გზავნილებისა და ტურიზმის კუთხით. </w:t>
      </w:r>
      <w:r>
        <w:rPr>
          <w:rFonts w:ascii="Sylfaen" w:hAnsi="Sylfaen" w:cs="Sylfaen"/>
          <w:sz w:val="20"/>
          <w:lang w:val="ka-GE"/>
        </w:rPr>
        <w:t xml:space="preserve">ხოლო მეორე მხრივ, </w:t>
      </w:r>
      <w:r w:rsidR="009603DD">
        <w:rPr>
          <w:rFonts w:ascii="Sylfaen" w:hAnsi="Sylfaen" w:cs="Sylfaen"/>
          <w:sz w:val="20"/>
          <w:lang w:val="ka-GE"/>
        </w:rPr>
        <w:t xml:space="preserve">საერთაშორისო ნავთობის ფასების ზრდიდან გამომდინარე ინფლაციაზე ზეწოლა ასევე საყურადღებო ფაქტორია და აღნიშნულ ფაქტორებს </w:t>
      </w:r>
      <w:r>
        <w:rPr>
          <w:rFonts w:ascii="Sylfaen" w:hAnsi="Sylfaen" w:cs="Sylfaen"/>
          <w:sz w:val="20"/>
          <w:lang w:val="ka-GE"/>
        </w:rPr>
        <w:t xml:space="preserve">შეიძლება </w:t>
      </w:r>
      <w:r w:rsidR="009603DD">
        <w:rPr>
          <w:rFonts w:ascii="Sylfaen" w:hAnsi="Sylfaen" w:cs="Sylfaen"/>
          <w:sz w:val="20"/>
          <w:lang w:val="ka-GE"/>
        </w:rPr>
        <w:t>ჰ</w:t>
      </w:r>
      <w:r>
        <w:rPr>
          <w:rFonts w:ascii="Sylfaen" w:hAnsi="Sylfaen" w:cs="Sylfaen"/>
          <w:sz w:val="20"/>
          <w:lang w:val="ka-GE"/>
        </w:rPr>
        <w:t>ქონდე</w:t>
      </w:r>
      <w:r w:rsidR="009603DD">
        <w:rPr>
          <w:rFonts w:ascii="Sylfaen" w:hAnsi="Sylfaen" w:cs="Sylfaen"/>
          <w:sz w:val="20"/>
          <w:lang w:val="ka-GE"/>
        </w:rPr>
        <w:t xml:space="preserve">თ როგორც პირდაპირი, ასევე - </w:t>
      </w:r>
      <w:r>
        <w:rPr>
          <w:rFonts w:ascii="Sylfaen" w:hAnsi="Sylfaen" w:cs="Sylfaen"/>
          <w:sz w:val="20"/>
          <w:lang w:val="ka-GE"/>
        </w:rPr>
        <w:t>არაპირდაპირი გავლენა სხვადასხვა რისკების მატერიალიზაციის ალბათობაზე.</w:t>
      </w:r>
    </w:p>
    <w:p w:rsidR="000A4D4A" w:rsidRDefault="000A4D4A" w:rsidP="00544F05">
      <w:pPr>
        <w:spacing w:before="240" w:line="276" w:lineRule="auto"/>
        <w:ind w:firstLine="540"/>
        <w:jc w:val="both"/>
        <w:rPr>
          <w:rFonts w:ascii="Sylfaen" w:hAnsi="Sylfaen"/>
          <w:sz w:val="20"/>
        </w:rPr>
      </w:pPr>
      <w:r w:rsidRPr="000A4D4A">
        <w:rPr>
          <w:rFonts w:ascii="Sylfaen" w:hAnsi="Sylfaen" w:cs="Sylfaen"/>
          <w:sz w:val="20"/>
        </w:rPr>
        <w:t>აღნიშნული</w:t>
      </w:r>
      <w:r w:rsidRPr="000A4D4A">
        <w:rPr>
          <w:rFonts w:ascii="Sylfaen" w:hAnsi="Sylfaen"/>
          <w:sz w:val="20"/>
        </w:rPr>
        <w:t xml:space="preserve"> </w:t>
      </w:r>
      <w:r w:rsidRPr="000A4D4A">
        <w:rPr>
          <w:rFonts w:ascii="Sylfaen" w:hAnsi="Sylfaen" w:cs="Sylfaen"/>
          <w:sz w:val="20"/>
        </w:rPr>
        <w:t>რისკ</w:t>
      </w:r>
      <w:r w:rsidR="00C300FF">
        <w:rPr>
          <w:rFonts w:ascii="Sylfaen" w:hAnsi="Sylfaen"/>
          <w:sz w:val="20"/>
        </w:rPr>
        <w:t>-</w:t>
      </w:r>
      <w:r w:rsidRPr="000A4D4A">
        <w:rPr>
          <w:rFonts w:ascii="Sylfaen" w:hAnsi="Sylfaen" w:cs="Sylfaen"/>
          <w:sz w:val="20"/>
        </w:rPr>
        <w:t>ფაქტორების</w:t>
      </w:r>
      <w:r w:rsidRPr="000A4D4A">
        <w:rPr>
          <w:rFonts w:ascii="Sylfaen" w:hAnsi="Sylfaen"/>
          <w:sz w:val="20"/>
        </w:rPr>
        <w:t xml:space="preserve"> </w:t>
      </w:r>
      <w:r w:rsidRPr="000A4D4A">
        <w:rPr>
          <w:rFonts w:ascii="Sylfaen" w:hAnsi="Sylfaen" w:cs="Sylfaen"/>
          <w:sz w:val="20"/>
        </w:rPr>
        <w:t>ალბათობების</w:t>
      </w:r>
      <w:r w:rsidRPr="000A4D4A">
        <w:rPr>
          <w:rFonts w:ascii="Sylfaen" w:hAnsi="Sylfaen"/>
          <w:sz w:val="20"/>
        </w:rPr>
        <w:t xml:space="preserve"> </w:t>
      </w:r>
      <w:r w:rsidRPr="000A4D4A">
        <w:rPr>
          <w:rFonts w:ascii="Sylfaen" w:hAnsi="Sylfaen" w:cs="Sylfaen"/>
          <w:sz w:val="20"/>
        </w:rPr>
        <w:t>ანალიზი</w:t>
      </w:r>
      <w:r w:rsidRPr="000A4D4A">
        <w:rPr>
          <w:rFonts w:ascii="Sylfaen" w:hAnsi="Sylfaen"/>
          <w:sz w:val="20"/>
        </w:rPr>
        <w:t xml:space="preserve"> </w:t>
      </w:r>
      <w:r w:rsidRPr="000A4D4A">
        <w:rPr>
          <w:rFonts w:ascii="Sylfaen" w:hAnsi="Sylfaen" w:cs="Sylfaen"/>
          <w:sz w:val="20"/>
        </w:rPr>
        <w:t>საფუძვლად</w:t>
      </w:r>
      <w:r w:rsidRPr="000A4D4A">
        <w:rPr>
          <w:rFonts w:ascii="Sylfaen" w:hAnsi="Sylfaen"/>
          <w:sz w:val="20"/>
        </w:rPr>
        <w:t xml:space="preserve"> </w:t>
      </w:r>
      <w:r w:rsidR="001E6F04">
        <w:rPr>
          <w:rFonts w:ascii="Sylfaen" w:hAnsi="Sylfaen"/>
          <w:sz w:val="20"/>
          <w:lang w:val="ka-GE"/>
        </w:rPr>
        <w:t>უდევს</w:t>
      </w:r>
      <w:r w:rsidRPr="000A4D4A">
        <w:rPr>
          <w:rFonts w:ascii="Sylfaen" w:hAnsi="Sylfaen"/>
          <w:sz w:val="20"/>
        </w:rPr>
        <w:t xml:space="preserve"> </w:t>
      </w:r>
      <w:r w:rsidRPr="000A4D4A">
        <w:rPr>
          <w:rFonts w:ascii="Sylfaen" w:hAnsi="Sylfaen" w:cs="Sylfaen"/>
          <w:sz w:val="20"/>
        </w:rPr>
        <w:t>ფინანსთა</w:t>
      </w:r>
      <w:r w:rsidRPr="000A4D4A">
        <w:rPr>
          <w:rFonts w:ascii="Sylfaen" w:hAnsi="Sylfaen"/>
          <w:sz w:val="20"/>
        </w:rPr>
        <w:t xml:space="preserve"> </w:t>
      </w:r>
      <w:r w:rsidRPr="000A4D4A">
        <w:rPr>
          <w:rFonts w:ascii="Sylfaen" w:hAnsi="Sylfaen" w:cs="Sylfaen"/>
          <w:sz w:val="20"/>
        </w:rPr>
        <w:t>სამინისტროს</w:t>
      </w:r>
      <w:r w:rsidRPr="000A4D4A">
        <w:rPr>
          <w:rFonts w:ascii="Sylfaen" w:hAnsi="Sylfaen"/>
          <w:sz w:val="20"/>
        </w:rPr>
        <w:t xml:space="preserve"> </w:t>
      </w:r>
      <w:r w:rsidRPr="000A4D4A">
        <w:rPr>
          <w:rFonts w:ascii="Sylfaen" w:hAnsi="Sylfaen" w:cs="Sylfaen"/>
          <w:sz w:val="20"/>
        </w:rPr>
        <w:t>ეკონომიკური</w:t>
      </w:r>
      <w:r w:rsidRPr="000A4D4A">
        <w:rPr>
          <w:rFonts w:ascii="Sylfaen" w:hAnsi="Sylfaen"/>
          <w:sz w:val="20"/>
        </w:rPr>
        <w:t xml:space="preserve"> </w:t>
      </w:r>
      <w:r w:rsidRPr="000A4D4A">
        <w:rPr>
          <w:rFonts w:ascii="Sylfaen" w:hAnsi="Sylfaen" w:cs="Sylfaen"/>
          <w:sz w:val="20"/>
        </w:rPr>
        <w:t>პროგნოზირების</w:t>
      </w:r>
      <w:r w:rsidRPr="000A4D4A">
        <w:rPr>
          <w:rFonts w:ascii="Sylfaen" w:hAnsi="Sylfaen"/>
          <w:sz w:val="20"/>
        </w:rPr>
        <w:t xml:space="preserve"> </w:t>
      </w:r>
      <w:r w:rsidRPr="000A4D4A">
        <w:rPr>
          <w:rFonts w:ascii="Sylfaen" w:hAnsi="Sylfaen" w:cs="Sylfaen"/>
          <w:sz w:val="20"/>
        </w:rPr>
        <w:t>მოდელის</w:t>
      </w:r>
      <w:r w:rsidRPr="000A4D4A">
        <w:rPr>
          <w:rFonts w:ascii="Sylfaen" w:hAnsi="Sylfaen"/>
          <w:sz w:val="20"/>
        </w:rPr>
        <w:t xml:space="preserve"> </w:t>
      </w:r>
      <w:r w:rsidRPr="000A4D4A">
        <w:rPr>
          <w:rFonts w:ascii="Sylfaen" w:hAnsi="Sylfaen" w:cs="Sylfaen"/>
          <w:sz w:val="20"/>
        </w:rPr>
        <w:t>დაშვებებს</w:t>
      </w:r>
      <w:r w:rsidRPr="000A4D4A">
        <w:rPr>
          <w:rFonts w:ascii="Sylfaen" w:hAnsi="Sylfaen"/>
          <w:sz w:val="20"/>
        </w:rPr>
        <w:t xml:space="preserve">, </w:t>
      </w:r>
      <w:r w:rsidRPr="000A4D4A">
        <w:rPr>
          <w:rFonts w:ascii="Sylfaen" w:hAnsi="Sylfaen" w:cs="Sylfaen"/>
          <w:sz w:val="20"/>
        </w:rPr>
        <w:t>რის</w:t>
      </w:r>
      <w:r w:rsidRPr="000A4D4A">
        <w:rPr>
          <w:rFonts w:ascii="Sylfaen" w:hAnsi="Sylfaen"/>
          <w:sz w:val="20"/>
        </w:rPr>
        <w:t xml:space="preserve"> </w:t>
      </w:r>
      <w:r w:rsidRPr="000A4D4A">
        <w:rPr>
          <w:rFonts w:ascii="Sylfaen" w:hAnsi="Sylfaen" w:cs="Sylfaen"/>
          <w:sz w:val="20"/>
        </w:rPr>
        <w:t>საფუძველზეც</w:t>
      </w:r>
      <w:r w:rsidRPr="000A4D4A">
        <w:rPr>
          <w:rFonts w:ascii="Sylfaen" w:hAnsi="Sylfaen"/>
          <w:sz w:val="20"/>
        </w:rPr>
        <w:t xml:space="preserve"> </w:t>
      </w:r>
      <w:r w:rsidRPr="000A4D4A">
        <w:rPr>
          <w:rFonts w:ascii="Sylfaen" w:hAnsi="Sylfaen" w:cs="Sylfaen"/>
          <w:sz w:val="20"/>
        </w:rPr>
        <w:t>ხდება</w:t>
      </w:r>
      <w:r w:rsidRPr="000A4D4A">
        <w:rPr>
          <w:rFonts w:ascii="Sylfaen" w:hAnsi="Sylfaen"/>
          <w:sz w:val="20"/>
        </w:rPr>
        <w:t xml:space="preserve"> </w:t>
      </w:r>
      <w:r w:rsidR="00D4297E">
        <w:rPr>
          <w:rFonts w:ascii="Sylfaen" w:hAnsi="Sylfaen" w:cs="Sylfaen"/>
          <w:sz w:val="20"/>
          <w:lang w:val="ka-GE"/>
        </w:rPr>
        <w:t>ალტერნატიული</w:t>
      </w:r>
      <w:r w:rsidRPr="000A4D4A">
        <w:rPr>
          <w:rFonts w:ascii="Sylfaen" w:hAnsi="Sylfaen"/>
          <w:sz w:val="20"/>
        </w:rPr>
        <w:t xml:space="preserve"> </w:t>
      </w:r>
      <w:r w:rsidRPr="000A4D4A">
        <w:rPr>
          <w:rFonts w:ascii="Sylfaen" w:hAnsi="Sylfaen" w:cs="Sylfaen"/>
          <w:sz w:val="20"/>
        </w:rPr>
        <w:t>სცენარების</w:t>
      </w:r>
      <w:r w:rsidRPr="000A4D4A">
        <w:rPr>
          <w:rFonts w:ascii="Sylfaen" w:hAnsi="Sylfaen"/>
          <w:sz w:val="20"/>
        </w:rPr>
        <w:t xml:space="preserve"> </w:t>
      </w:r>
      <w:r w:rsidRPr="000A4D4A">
        <w:rPr>
          <w:rFonts w:ascii="Sylfaen" w:hAnsi="Sylfaen" w:cs="Sylfaen"/>
          <w:sz w:val="20"/>
        </w:rPr>
        <w:t>შემუშავება</w:t>
      </w:r>
      <w:r w:rsidRPr="000A4D4A">
        <w:rPr>
          <w:rFonts w:ascii="Sylfaen" w:hAnsi="Sylfaen"/>
          <w:sz w:val="20"/>
        </w:rPr>
        <w:t>.</w:t>
      </w:r>
      <w:r w:rsidR="00D920D4">
        <w:rPr>
          <w:rFonts w:ascii="Sylfaen" w:hAnsi="Sylfaen"/>
          <w:sz w:val="20"/>
        </w:rPr>
        <w:t xml:space="preserve"> </w:t>
      </w:r>
    </w:p>
    <w:p w:rsidR="000A4D4A" w:rsidRPr="00190D83" w:rsidRDefault="009E2E9F" w:rsidP="00544F05">
      <w:pPr>
        <w:pStyle w:val="Heading2"/>
        <w:spacing w:before="240" w:line="276" w:lineRule="auto"/>
      </w:pPr>
      <w:r w:rsidRPr="00190D83">
        <w:t>პანდემიის გამწვავება</w:t>
      </w:r>
    </w:p>
    <w:p w:rsidR="00544F05"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2021 წლის ბოლოს კოვიდ-19-ის ახალმა შტამმა საკმაოდ მკაცრი ეპიდემიოლოგიური სურათი მოგვცა, თუმცა 2022 წლის პირველი კვარტლიდან ვირუსის გავრცელებამ იკლო და შესაბამისად, მოიხსნა შეზღუდვებიც. მიუხედავად იმისა, რომ პანდემიის მძლავრი ტალღის განვითარების რისკები შემცირებული იყო, შეზღუდვების გაუქმებამ და ვირუსის ახალი შტამების გავრცელებამ მსოფლიოს მასშტაბით გამოიწვია ინფიცირებულთა რიცხვის ზრდა. მოსალოდნელია, რომ აღნიშნული სიტუაცია გამოიწვევს კონტროლის მექანიზმების ხელახალ ამუშავებას. ჯანდაცვის მსოფლიო ორგანიზაციის განცხადებით, იმ შემთხვევაში, თუ არ მოხდებ</w:t>
      </w:r>
      <w:r w:rsidR="00A520AB">
        <w:rPr>
          <w:rFonts w:ascii="Sylfaen" w:hAnsi="Sylfaen" w:cs="Sylfaen"/>
          <w:sz w:val="20"/>
          <w:lang w:val="ka-GE"/>
        </w:rPr>
        <w:t>ოდ</w:t>
      </w:r>
      <w:r w:rsidRPr="00544F05">
        <w:rPr>
          <w:rFonts w:ascii="Sylfaen" w:hAnsi="Sylfaen" w:cs="Sylfaen"/>
          <w:sz w:val="20"/>
          <w:lang w:val="ka-GE"/>
        </w:rPr>
        <w:t>ა სიფრთხილის ზომების მიღება, 2022 წლის შემოდგომაზე შესაძლებელი</w:t>
      </w:r>
      <w:r w:rsidR="00A520AB">
        <w:rPr>
          <w:rFonts w:ascii="Sylfaen" w:hAnsi="Sylfaen" w:cs="Sylfaen"/>
          <w:sz w:val="20"/>
          <w:lang w:val="ka-GE"/>
        </w:rPr>
        <w:t xml:space="preserve"> იყო</w:t>
      </w:r>
      <w:r w:rsidRPr="00544F05">
        <w:rPr>
          <w:rFonts w:ascii="Sylfaen" w:hAnsi="Sylfaen" w:cs="Sylfaen"/>
          <w:sz w:val="20"/>
          <w:lang w:val="ka-GE"/>
        </w:rPr>
        <w:t xml:space="preserve"> პანდემიის ახალი ტალღ</w:t>
      </w:r>
      <w:r w:rsidR="00A520AB">
        <w:rPr>
          <w:rFonts w:ascii="Sylfaen" w:hAnsi="Sylfaen" w:cs="Sylfaen"/>
          <w:sz w:val="20"/>
          <w:lang w:val="ka-GE"/>
        </w:rPr>
        <w:t xml:space="preserve">ის დაწყება, რისი </w:t>
      </w:r>
      <w:r w:rsidRPr="00544F05">
        <w:rPr>
          <w:rFonts w:ascii="Sylfaen" w:hAnsi="Sylfaen" w:cs="Sylfaen"/>
          <w:sz w:val="20"/>
          <w:lang w:val="ka-GE"/>
        </w:rPr>
        <w:t>წინაპირობები</w:t>
      </w:r>
      <w:r w:rsidR="00A520AB">
        <w:rPr>
          <w:rFonts w:ascii="Sylfaen" w:hAnsi="Sylfaen" w:cs="Sylfaen"/>
          <w:sz w:val="20"/>
          <w:lang w:val="ka-GE"/>
        </w:rPr>
        <w:t>ც (</w:t>
      </w:r>
      <w:r w:rsidRPr="00544F05">
        <w:rPr>
          <w:rFonts w:ascii="Sylfaen" w:hAnsi="Sylfaen" w:cs="Sylfaen"/>
          <w:sz w:val="20"/>
          <w:lang w:val="ka-GE"/>
        </w:rPr>
        <w:t>ახალი შტამების წარმოქმნა, ვაქცინაციის პროცესის შენელება და სოციალური დისტანცირების შეზღუდვების გაუქმება</w:t>
      </w:r>
      <w:r w:rsidR="00A520AB">
        <w:rPr>
          <w:rFonts w:ascii="Sylfaen" w:hAnsi="Sylfaen" w:cs="Sylfaen"/>
          <w:sz w:val="20"/>
          <w:lang w:val="ka-GE"/>
        </w:rPr>
        <w:t>) უკვე არსებობდა</w:t>
      </w:r>
      <w:r w:rsidRPr="00544F05">
        <w:rPr>
          <w:rFonts w:ascii="Sylfaen" w:hAnsi="Sylfaen" w:cs="Sylfaen"/>
          <w:sz w:val="20"/>
          <w:lang w:val="ka-GE"/>
        </w:rPr>
        <w:t>. პანდემიის კვლავ გამწვავების რისკი, თავის მხრივ, უარყოფითად იმოქმედებს ეკონომიკურ აქტივობაზე</w:t>
      </w:r>
      <w:r w:rsidR="00D844E7">
        <w:rPr>
          <w:rFonts w:ascii="Sylfaen" w:hAnsi="Sylfaen" w:cs="Sylfaen"/>
          <w:sz w:val="20"/>
          <w:lang w:val="ka-GE"/>
        </w:rPr>
        <w:t xml:space="preserve">, რადგან </w:t>
      </w:r>
      <w:r w:rsidR="00145370">
        <w:rPr>
          <w:rFonts w:ascii="Sylfaen" w:hAnsi="Sylfaen" w:cs="Sylfaen"/>
          <w:sz w:val="20"/>
          <w:lang w:val="ka-GE"/>
        </w:rPr>
        <w:t>აღნიშნული შეამცირებს ერთობლივ მოთხოვნას</w:t>
      </w:r>
      <w:r w:rsidR="00054312">
        <w:rPr>
          <w:rFonts w:ascii="Sylfaen" w:hAnsi="Sylfaen" w:cs="Sylfaen"/>
          <w:sz w:val="20"/>
        </w:rPr>
        <w:t xml:space="preserve"> </w:t>
      </w:r>
      <w:r w:rsidR="00054312">
        <w:rPr>
          <w:rFonts w:ascii="Sylfaen" w:hAnsi="Sylfaen" w:cs="Sylfaen"/>
          <w:sz w:val="20"/>
          <w:lang w:val="ka-GE"/>
        </w:rPr>
        <w:t>და შესაბამისად</w:t>
      </w:r>
      <w:r w:rsidR="001E6F04">
        <w:rPr>
          <w:rFonts w:ascii="Sylfaen" w:hAnsi="Sylfaen" w:cs="Sylfaen"/>
          <w:sz w:val="20"/>
          <w:lang w:val="ka-GE"/>
        </w:rPr>
        <w:t>,</w:t>
      </w:r>
      <w:r w:rsidR="00054312">
        <w:rPr>
          <w:rFonts w:ascii="Sylfaen" w:hAnsi="Sylfaen" w:cs="Sylfaen"/>
          <w:sz w:val="20"/>
          <w:lang w:val="ka-GE"/>
        </w:rPr>
        <w:t xml:space="preserve"> ეკონომიკურ ზრდას</w:t>
      </w:r>
      <w:r w:rsidRPr="00544F05">
        <w:rPr>
          <w:rFonts w:ascii="Sylfaen" w:hAnsi="Sylfaen" w:cs="Sylfaen"/>
          <w:sz w:val="20"/>
          <w:lang w:val="ka-GE"/>
        </w:rPr>
        <w:t xml:space="preserve">. </w:t>
      </w:r>
    </w:p>
    <w:p w:rsidR="00D920D4" w:rsidRDefault="00D920D4" w:rsidP="00544F05">
      <w:pPr>
        <w:spacing w:before="240" w:line="276" w:lineRule="auto"/>
        <w:ind w:firstLine="540"/>
        <w:jc w:val="both"/>
        <w:rPr>
          <w:rFonts w:ascii="Sylfaen" w:hAnsi="Sylfaen" w:cs="Segoe UI"/>
          <w:sz w:val="20"/>
          <w:szCs w:val="20"/>
        </w:rPr>
      </w:pPr>
    </w:p>
    <w:p w:rsidR="000A4D4A" w:rsidRDefault="000A4D4A" w:rsidP="00544F05">
      <w:pPr>
        <w:pStyle w:val="Heading2"/>
        <w:spacing w:before="240" w:line="276" w:lineRule="auto"/>
      </w:pPr>
      <w:r w:rsidRPr="005D4934">
        <w:t>ტურიზმის გლობალური სენტიმენტების გაუარესება</w:t>
      </w:r>
    </w:p>
    <w:p w:rsidR="00862AF3" w:rsidRPr="00544F05" w:rsidRDefault="00544F05" w:rsidP="00544F05">
      <w:pPr>
        <w:spacing w:before="240" w:line="276" w:lineRule="auto"/>
        <w:ind w:firstLine="540"/>
        <w:jc w:val="both"/>
        <w:rPr>
          <w:rFonts w:ascii="Sylfaen" w:hAnsi="Sylfaen" w:cs="Sylfaen"/>
          <w:sz w:val="20"/>
          <w:lang w:val="ka-GE"/>
        </w:rPr>
      </w:pPr>
      <w:r w:rsidRPr="00544F05">
        <w:rPr>
          <w:rFonts w:ascii="Sylfaen" w:hAnsi="Sylfaen" w:cs="Sylfaen"/>
          <w:sz w:val="20"/>
          <w:lang w:val="ka-GE"/>
        </w:rPr>
        <w:t xml:space="preserve">პანდემიის ერთ-ერთი მძიმე და გრძელვადიანი გავლენა გლობალურ ტურიზმზე მოდის. პანდემიის გარდა, რუსეთის მიერ უკრაინაში შეჭრამ წარმოქმნა საჰაერო სივრცის შეზღუდვები, რამაც გამოიწვია ტურიზმის შეფერხება. მიუხედავად იმისა, რომ ბოლო პერიოდში ტურიზმის სწრაფ გამოცოცხლებას აქვს ადგილი, ამ ეტაპისთვის ჯერ კიდევ ადრეა ტურიზმის საშუალოვადიანი აღდგენის პერსპექტივებზე მოლოდინების განახლება. მიუხედავად 2020 წელთან საკმაოდ მაღალი ზრდისა, 2022 წლის </w:t>
      </w:r>
      <w:r w:rsidR="00A520AB">
        <w:rPr>
          <w:rFonts w:ascii="Sylfaen" w:hAnsi="Sylfaen" w:cs="Sylfaen"/>
          <w:sz w:val="20"/>
          <w:lang w:val="ka-GE"/>
        </w:rPr>
        <w:t>10</w:t>
      </w:r>
      <w:r w:rsidRPr="00544F05">
        <w:rPr>
          <w:rFonts w:ascii="Sylfaen" w:hAnsi="Sylfaen" w:cs="Sylfaen"/>
          <w:sz w:val="20"/>
          <w:lang w:val="ka-GE"/>
        </w:rPr>
        <w:t xml:space="preserve"> თვის მონაცემებით ტურიზმ</w:t>
      </w:r>
      <w:r w:rsidR="001E6F04">
        <w:rPr>
          <w:rFonts w:ascii="Sylfaen" w:hAnsi="Sylfaen" w:cs="Sylfaen"/>
          <w:sz w:val="20"/>
          <w:lang w:val="ka-GE"/>
        </w:rPr>
        <w:t>მა მხოლოდ ახლა მიაღწია 2019 წლის მაჩვენებელს, თუმცა</w:t>
      </w:r>
      <w:r w:rsidRPr="00544F05">
        <w:rPr>
          <w:rFonts w:ascii="Sylfaen" w:hAnsi="Sylfaen" w:cs="Sylfaen"/>
          <w:sz w:val="20"/>
          <w:lang w:val="ka-GE"/>
        </w:rPr>
        <w:t xml:space="preserve"> </w:t>
      </w:r>
      <w:r w:rsidR="00753BF8">
        <w:rPr>
          <w:rFonts w:ascii="Sylfaen" w:hAnsi="Sylfaen" w:cs="Sylfaen"/>
          <w:sz w:val="20"/>
          <w:lang w:val="ka-GE"/>
        </w:rPr>
        <w:t xml:space="preserve">მნიშვნელოვნად </w:t>
      </w:r>
      <w:r w:rsidRPr="00544F05">
        <w:rPr>
          <w:rFonts w:ascii="Sylfaen" w:hAnsi="Sylfaen" w:cs="Sylfaen"/>
          <w:sz w:val="20"/>
          <w:lang w:val="ka-GE"/>
        </w:rPr>
        <w:t>გაუმჯობესებულია წინა წელთან შედარებით</w:t>
      </w:r>
      <w:r w:rsidR="001E6F04">
        <w:rPr>
          <w:rFonts w:ascii="Sylfaen" w:hAnsi="Sylfaen" w:cs="Sylfaen"/>
          <w:sz w:val="20"/>
          <w:lang w:val="ka-GE"/>
        </w:rPr>
        <w:t>.</w:t>
      </w:r>
      <w:r w:rsidRPr="00544F05">
        <w:rPr>
          <w:rFonts w:ascii="Sylfaen" w:hAnsi="Sylfaen" w:cs="Sylfaen"/>
          <w:sz w:val="20"/>
          <w:lang w:val="ka-GE"/>
        </w:rPr>
        <w:t xml:space="preserve"> </w:t>
      </w:r>
      <w:r w:rsidR="00753BF8">
        <w:rPr>
          <w:rFonts w:ascii="Sylfaen" w:hAnsi="Sylfaen" w:cs="Sylfaen"/>
          <w:sz w:val="20"/>
          <w:lang w:val="ka-GE"/>
        </w:rPr>
        <w:t>არსებული გაუმჯობესების მიუხედავად</w:t>
      </w:r>
      <w:r w:rsidR="001E6F04">
        <w:rPr>
          <w:rFonts w:ascii="Sylfaen" w:hAnsi="Sylfaen" w:cs="Sylfaen"/>
          <w:sz w:val="20"/>
          <w:lang w:val="ka-GE"/>
        </w:rPr>
        <w:t>,</w:t>
      </w:r>
      <w:r w:rsidR="00753BF8">
        <w:rPr>
          <w:rFonts w:ascii="Sylfaen" w:hAnsi="Sylfaen" w:cs="Sylfaen"/>
          <w:sz w:val="20"/>
          <w:lang w:val="ka-GE"/>
        </w:rPr>
        <w:t xml:space="preserve"> საშუალოვადიან პერიოდში</w:t>
      </w:r>
      <w:r w:rsidR="00FA0023" w:rsidRPr="00544F05">
        <w:rPr>
          <w:rFonts w:ascii="Sylfaen" w:hAnsi="Sylfaen" w:cs="Sylfaen"/>
          <w:sz w:val="20"/>
          <w:lang w:val="ka-GE"/>
        </w:rPr>
        <w:t xml:space="preserve"> </w:t>
      </w:r>
      <w:r w:rsidR="00753BF8">
        <w:rPr>
          <w:rFonts w:ascii="Sylfaen" w:hAnsi="Sylfaen" w:cs="Sylfaen"/>
          <w:sz w:val="20"/>
          <w:lang w:val="ka-GE"/>
        </w:rPr>
        <w:t>კვ</w:t>
      </w:r>
      <w:r w:rsidR="00FA0023" w:rsidRPr="00544F05">
        <w:rPr>
          <w:rFonts w:ascii="Sylfaen" w:hAnsi="Sylfaen" w:cs="Sylfaen"/>
          <w:sz w:val="20"/>
          <w:lang w:val="ka-GE"/>
        </w:rPr>
        <w:t>ლ</w:t>
      </w:r>
      <w:r w:rsidR="00753BF8">
        <w:rPr>
          <w:rFonts w:ascii="Sylfaen" w:hAnsi="Sylfaen" w:cs="Sylfaen"/>
          <w:sz w:val="20"/>
          <w:lang w:val="ka-GE"/>
        </w:rPr>
        <w:t>ა</w:t>
      </w:r>
      <w:r w:rsidR="00FA0023" w:rsidRPr="00544F05">
        <w:rPr>
          <w:rFonts w:ascii="Sylfaen" w:hAnsi="Sylfaen" w:cs="Sylfaen"/>
          <w:sz w:val="20"/>
          <w:lang w:val="ka-GE"/>
        </w:rPr>
        <w:t>ვ აქტუალურია ტურიზმის მიმართულებით შემდეგი რისკ-ფაქტორები:</w:t>
      </w:r>
    </w:p>
    <w:p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 xml:space="preserve">ბუნებრივია, </w:t>
      </w:r>
      <w:r w:rsidRPr="00544F05">
        <w:rPr>
          <w:rFonts w:ascii="Sylfaen" w:hAnsi="Sylfaen" w:cs="Segoe UI"/>
          <w:sz w:val="20"/>
          <w:szCs w:val="20"/>
          <w:lang w:val="ka-GE"/>
        </w:rPr>
        <w:t xml:space="preserve">რომ </w:t>
      </w:r>
      <w:r w:rsidRPr="00544F05">
        <w:rPr>
          <w:rFonts w:ascii="Sylfaen" w:hAnsi="Sylfaen" w:cs="Segoe UI"/>
          <w:sz w:val="20"/>
          <w:szCs w:val="20"/>
        </w:rPr>
        <w:t>გლობალურ ეკონომიკურ კლებას</w:t>
      </w:r>
      <w:r w:rsidRPr="00544F05">
        <w:rPr>
          <w:rFonts w:ascii="Sylfaen" w:hAnsi="Sylfaen" w:cs="Segoe UI"/>
          <w:sz w:val="20"/>
          <w:szCs w:val="20"/>
          <w:lang w:val="ka-GE"/>
        </w:rPr>
        <w:t xml:space="preserve"> </w:t>
      </w:r>
      <w:r w:rsidRPr="00544F05">
        <w:rPr>
          <w:rFonts w:ascii="Sylfaen" w:hAnsi="Sylfaen" w:cs="Segoe UI"/>
          <w:sz w:val="20"/>
          <w:szCs w:val="20"/>
        </w:rPr>
        <w:t>საშუალოვადიან პერიოდში ერთ-ერთი ყველაზე ნეგატიური გავლენა ექნება ტურიზმზე, რადგან ტურისტული მოგზაურობა ფუფუნების საგანია;</w:t>
      </w:r>
    </w:p>
    <w:p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ტურიზმი გარკვეულწილად გლობალიზაციის თანმდევი პროცესია და შესაძლო დეგლობალიზაციური ტენდენციები აისახება გლობალურ ტურისტულ სენტიმენტებზე;</w:t>
      </w:r>
    </w:p>
    <w:p w:rsidR="000A4D4A" w:rsidRPr="00544F05" w:rsidRDefault="000A4D4A" w:rsidP="00544F05">
      <w:pPr>
        <w:pStyle w:val="ListParagraph"/>
        <w:numPr>
          <w:ilvl w:val="0"/>
          <w:numId w:val="17"/>
        </w:numPr>
        <w:spacing w:before="240" w:line="276" w:lineRule="auto"/>
        <w:jc w:val="both"/>
        <w:rPr>
          <w:rFonts w:ascii="Sylfaen" w:hAnsi="Sylfaen" w:cs="Segoe UI"/>
          <w:sz w:val="20"/>
          <w:szCs w:val="20"/>
        </w:rPr>
      </w:pPr>
      <w:r w:rsidRPr="00544F05">
        <w:rPr>
          <w:rFonts w:ascii="Sylfaen" w:hAnsi="Sylfaen" w:cs="Segoe UI"/>
          <w:sz w:val="20"/>
          <w:szCs w:val="20"/>
        </w:rPr>
        <w:t>არსებობს მოსაზრებები, რომ ტურისტული ტენდენციები გადაიხრება ტრადიციული</w:t>
      </w:r>
      <w:r w:rsidRPr="00544F05">
        <w:rPr>
          <w:rFonts w:ascii="Sylfaen" w:hAnsi="Sylfaen" w:cs="Segoe UI"/>
          <w:sz w:val="20"/>
          <w:szCs w:val="20"/>
          <w:lang w:val="ka-GE"/>
        </w:rPr>
        <w:t xml:space="preserve"> </w:t>
      </w:r>
      <w:r w:rsidRPr="00544F05">
        <w:rPr>
          <w:rFonts w:ascii="Sylfaen" w:hAnsi="Sylfaen" w:cs="Segoe UI"/>
          <w:sz w:val="20"/>
          <w:szCs w:val="20"/>
        </w:rPr>
        <w:t>ტურისტული</w:t>
      </w:r>
      <w:r w:rsidRPr="00544F05">
        <w:rPr>
          <w:rFonts w:ascii="Sylfaen" w:hAnsi="Sylfaen" w:cs="Segoe UI"/>
          <w:sz w:val="20"/>
          <w:szCs w:val="20"/>
          <w:lang w:val="ka-GE"/>
        </w:rPr>
        <w:t xml:space="preserve"> </w:t>
      </w:r>
      <w:r w:rsidRPr="00544F05">
        <w:rPr>
          <w:rFonts w:ascii="Sylfaen" w:hAnsi="Sylfaen" w:cs="Segoe UI"/>
          <w:sz w:val="20"/>
          <w:szCs w:val="20"/>
        </w:rPr>
        <w:t>დანიშნულებებისაკენ. ეს კი საქართველოსთვის ნიშნავს ტრადიციულ ტურისტულ ბაზრებზე დამოკიდებულების ზრდას და ევროპული და სხვა არაძირითადი ტურისტული ქვეყნებიდან ზრდის შეზღუდვას.</w:t>
      </w:r>
    </w:p>
    <w:p w:rsidR="00D920D4" w:rsidRPr="00D920D4" w:rsidRDefault="00D920D4" w:rsidP="00544F05">
      <w:pPr>
        <w:spacing w:before="240" w:line="276" w:lineRule="auto"/>
        <w:ind w:firstLine="540"/>
        <w:jc w:val="both"/>
        <w:rPr>
          <w:rFonts w:ascii="Segoe UI" w:hAnsi="Segoe UI" w:cs="Segoe UI"/>
          <w:sz w:val="20"/>
          <w:szCs w:val="20"/>
        </w:rPr>
      </w:pPr>
    </w:p>
    <w:p w:rsidR="00BD7F05" w:rsidRDefault="000A4D4A" w:rsidP="00544F05">
      <w:pPr>
        <w:pStyle w:val="Heading2"/>
        <w:spacing w:before="240" w:line="276" w:lineRule="auto"/>
      </w:pPr>
      <w:r>
        <w:t xml:space="preserve"> </w:t>
      </w:r>
      <w:r w:rsidRPr="00B83CE9">
        <w:t xml:space="preserve">გლობალური </w:t>
      </w:r>
      <w:r w:rsidR="00477AF8">
        <w:t>სავაჭრო ბრუნვის შემცირება</w:t>
      </w:r>
    </w:p>
    <w:p w:rsidR="00544F05" w:rsidRPr="00114227" w:rsidRDefault="00283359" w:rsidP="00544F05">
      <w:pPr>
        <w:spacing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მიმდინარე კრიზისის ფონზე მნიშვნელოვანია </w:t>
      </w:r>
      <w:r w:rsidR="00477AF8" w:rsidRPr="00114227">
        <w:rPr>
          <w:rFonts w:ascii="Sylfaen" w:hAnsi="Sylfaen" w:cs="Segoe UI"/>
          <w:sz w:val="20"/>
          <w:szCs w:val="20"/>
          <w:lang w:val="ka-GE"/>
        </w:rPr>
        <w:t>გლ</w:t>
      </w:r>
      <w:r w:rsidR="00FA0023" w:rsidRPr="00114227">
        <w:rPr>
          <w:rFonts w:ascii="Sylfaen" w:hAnsi="Sylfaen" w:cs="Segoe UI"/>
          <w:sz w:val="20"/>
          <w:szCs w:val="20"/>
          <w:lang w:val="ka-GE"/>
        </w:rPr>
        <w:t>ო</w:t>
      </w:r>
      <w:r w:rsidR="00477AF8" w:rsidRPr="00114227">
        <w:rPr>
          <w:rFonts w:ascii="Sylfaen" w:hAnsi="Sylfaen" w:cs="Segoe UI"/>
          <w:sz w:val="20"/>
          <w:szCs w:val="20"/>
          <w:lang w:val="ka-GE"/>
        </w:rPr>
        <w:t>ბალური გეოპ</w:t>
      </w:r>
      <w:r w:rsidR="00D04D1B" w:rsidRPr="00114227">
        <w:rPr>
          <w:rFonts w:ascii="Sylfaen" w:hAnsi="Sylfaen" w:cs="Segoe UI"/>
          <w:sz w:val="20"/>
          <w:szCs w:val="20"/>
          <w:lang w:val="ka-GE"/>
        </w:rPr>
        <w:t>ო</w:t>
      </w:r>
      <w:r w:rsidR="00477AF8" w:rsidRPr="00114227">
        <w:rPr>
          <w:rFonts w:ascii="Sylfaen" w:hAnsi="Sylfaen" w:cs="Segoe UI"/>
          <w:sz w:val="20"/>
          <w:szCs w:val="20"/>
          <w:lang w:val="ka-GE"/>
        </w:rPr>
        <w:t xml:space="preserve">ლიტიკური რისკების გაანალიზება. </w:t>
      </w:r>
      <w:r w:rsidR="00544F05" w:rsidRPr="00114227">
        <w:rPr>
          <w:rFonts w:ascii="Sylfaen" w:hAnsi="Sylfaen" w:cs="Segoe UI"/>
          <w:sz w:val="20"/>
          <w:szCs w:val="20"/>
          <w:lang w:val="ka-GE"/>
        </w:rPr>
        <w:t xml:space="preserve">მოსალოდნელია, რომ რუსეთის მიერ უკრაინაში შეჭრა, მზარდი ინფლაცია და მზარდი საპროცენტო განაკვეთები მსოფლიოში, ეკონომიკის აღდგენის პროცესებს საკმაოდ შეაფერხებს. უარყოფითი გავლენა ყველაზე მძიმე იქნება ევროპისა და ცენტრალური აზიისთვის, სადაც მოსალოდნელია ეკონომიკური ზრდის შემცირება. გამომდინარე იქედან, რომ რუსეთი და უკრაინა სოფლის მეურნეობის საქონლის ძირითადი ექსპორტიორები არიან, მოსალოდნელია სურსათზე გლობალური ფასების ზრდა, რასაც ომის ფონზე ტრანსპორტირების შეფერხებებაც განაპირობებს. </w:t>
      </w:r>
      <w:r w:rsidR="00F938E2">
        <w:rPr>
          <w:rFonts w:ascii="Sylfaen" w:hAnsi="Sylfaen" w:cs="Segoe UI"/>
          <w:sz w:val="20"/>
          <w:szCs w:val="20"/>
          <w:lang w:val="ka-GE"/>
        </w:rPr>
        <w:t xml:space="preserve">აღნიშნული რისკის რეალიზაცია გამოიწვევს მიწოდების შეფერხებას და გავლენას მოახდენს ფასების დონეზე. </w:t>
      </w:r>
      <w:r w:rsidR="00054312">
        <w:rPr>
          <w:rFonts w:ascii="Sylfaen" w:hAnsi="Sylfaen" w:cs="Segoe UI"/>
          <w:sz w:val="20"/>
          <w:szCs w:val="20"/>
          <w:lang w:val="ka-GE"/>
        </w:rPr>
        <w:t xml:space="preserve">გარდა ამისა, </w:t>
      </w:r>
      <w:r w:rsidR="00544F05" w:rsidRPr="00114227">
        <w:rPr>
          <w:rFonts w:ascii="Sylfaen" w:hAnsi="Sylfaen" w:cs="Segoe UI"/>
          <w:sz w:val="20"/>
          <w:szCs w:val="20"/>
          <w:lang w:val="ka-GE"/>
        </w:rPr>
        <w:t>სავაჭრო პირობების გაუარესება და სურსათის პროდუქტების იმპორტის გაძვირება ზრდის სოციალური დაუცველობის რისკებს და გადაავადებს ეკონომიკის აღდგენის პერსპექტივებს.</w:t>
      </w:r>
    </w:p>
    <w:p w:rsidR="00C33EA6" w:rsidRPr="00477AF8" w:rsidRDefault="00C33EA6" w:rsidP="00544F05">
      <w:pPr>
        <w:spacing w:before="240" w:line="276" w:lineRule="auto"/>
        <w:ind w:firstLine="540"/>
        <w:jc w:val="both"/>
        <w:rPr>
          <w:rFonts w:ascii="Segoe UI" w:hAnsi="Segoe UI" w:cs="Segoe UI"/>
          <w:b/>
          <w:sz w:val="20"/>
          <w:szCs w:val="20"/>
          <w:lang w:val="ka-GE"/>
        </w:rPr>
      </w:pPr>
    </w:p>
    <w:p w:rsidR="000A4D4A" w:rsidRPr="005D4934" w:rsidRDefault="000A4D4A" w:rsidP="00544F05">
      <w:pPr>
        <w:pStyle w:val="Heading2"/>
        <w:spacing w:before="240" w:line="276" w:lineRule="auto"/>
      </w:pPr>
      <w:r>
        <w:t xml:space="preserve"> </w:t>
      </w:r>
      <w:r w:rsidRPr="00B83CE9">
        <w:t>რეგიონული რისკები</w:t>
      </w:r>
    </w:p>
    <w:p w:rsidR="00384655" w:rsidRPr="00114227" w:rsidRDefault="000A4D4A" w:rsidP="00544F05">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 xml:space="preserve">ბოლო ათწლეულის განმავლობაში ჩვენი რეგიონი არ არის მოკლებული შოკებს. პანდემიამდელ პერიოდში ეკონომიკური და პოლიტიკური ხასიათის რისკები ეტაპობრივად მძიმდებოდა რეგიონში და მათი მატერიალიზაცია პანდემიის გარეშეც იყო მოსალოდნელი. თუმცა, </w:t>
      </w:r>
      <w:r w:rsidR="00384655" w:rsidRPr="00114227">
        <w:rPr>
          <w:rFonts w:ascii="Sylfaen" w:hAnsi="Sylfaen" w:cs="Segoe UI"/>
          <w:sz w:val="20"/>
          <w:szCs w:val="20"/>
          <w:lang w:val="ka-GE"/>
        </w:rPr>
        <w:t xml:space="preserve">პანდემიის შესუსტების ფონზე რეგიონული რისკების რეალიზაციის ალბათობა უფრო გაიზარდა. მიმდინარე წელს რუსეთის სრულმაშტაბიანი ომის წამოწყებამ უკრაინის წინააღმდეგ კიდევ უფრო დაამძიმა  ვითარება მოწყვლადი ეკონომიკებისთვის, რაც უფრო ზრდის ჯერ კიდევ არარეალიზებული რისკების ალბათობას. ამასთან, რუსეთის მიმართ დაწესებული სხვადასხვა ტიპის სანქციები რუსეთთან ეკონომიკურად დაკავშირებულ ქვეყნებზეც ახდენს გავლენას. </w:t>
      </w:r>
      <w:r w:rsidR="006C28C8" w:rsidRPr="00114227">
        <w:rPr>
          <w:rFonts w:ascii="Sylfaen" w:hAnsi="Sylfaen" w:cs="Segoe UI"/>
          <w:sz w:val="20"/>
          <w:szCs w:val="20"/>
          <w:lang w:val="ka-GE"/>
        </w:rPr>
        <w:t xml:space="preserve">საქართველოს ეკონომიკა </w:t>
      </w:r>
      <w:r w:rsidR="002C6B8A">
        <w:rPr>
          <w:rFonts w:ascii="Sylfaen" w:hAnsi="Sylfaen" w:cs="Segoe UI"/>
          <w:sz w:val="20"/>
          <w:szCs w:val="20"/>
          <w:lang w:val="ka-GE"/>
        </w:rPr>
        <w:t xml:space="preserve">გარკვეულწილად </w:t>
      </w:r>
      <w:r w:rsidR="006C28C8" w:rsidRPr="00114227">
        <w:rPr>
          <w:rFonts w:ascii="Sylfaen" w:hAnsi="Sylfaen" w:cs="Segoe UI"/>
          <w:sz w:val="20"/>
          <w:szCs w:val="20"/>
          <w:lang w:val="ka-GE"/>
        </w:rPr>
        <w:t xml:space="preserve">დამოკიდებულია როგორც რუსეთზე, ასევე - უკრაინაზე </w:t>
      </w:r>
      <w:r w:rsidR="009E09E1" w:rsidRPr="00114227">
        <w:rPr>
          <w:rFonts w:ascii="Sylfaen" w:hAnsi="Sylfaen" w:cs="Segoe UI"/>
          <w:sz w:val="20"/>
          <w:szCs w:val="20"/>
          <w:lang w:val="ka-GE"/>
        </w:rPr>
        <w:t xml:space="preserve">ექსპორტ-იმპორტის, ტურიზმისა და ფულადი გზავნილების კუთხით, რაც კიდევ უფრო მოწყვლადს ხდის აღნიშნულ ქვეყნებს შორის მიმდინარე მდგომარეობის გამწვავების მიმართ. </w:t>
      </w:r>
      <w:r w:rsidR="006C28C8" w:rsidRPr="00114227">
        <w:rPr>
          <w:rFonts w:ascii="Sylfaen" w:hAnsi="Sylfaen" w:cs="Segoe UI"/>
          <w:sz w:val="20"/>
          <w:szCs w:val="20"/>
          <w:lang w:val="ka-GE"/>
        </w:rPr>
        <w:t xml:space="preserve"> </w:t>
      </w:r>
    </w:p>
    <w:p w:rsidR="000A4D4A" w:rsidRPr="00114227" w:rsidRDefault="00384655" w:rsidP="00544F05">
      <w:pPr>
        <w:spacing w:before="240" w:line="276" w:lineRule="auto"/>
        <w:ind w:firstLine="540"/>
        <w:jc w:val="both"/>
        <w:rPr>
          <w:rFonts w:ascii="Sylfaen" w:hAnsi="Sylfaen" w:cs="Segoe UI"/>
          <w:sz w:val="20"/>
          <w:szCs w:val="20"/>
        </w:rPr>
      </w:pPr>
      <w:r w:rsidRPr="00114227">
        <w:rPr>
          <w:rFonts w:ascii="Sylfaen" w:hAnsi="Sylfaen" w:cs="Segoe UI"/>
          <w:sz w:val="20"/>
          <w:szCs w:val="20"/>
          <w:lang w:val="ka-GE"/>
        </w:rPr>
        <w:t xml:space="preserve">საშუალოვადიანი პერიოდისთვის, </w:t>
      </w:r>
      <w:r w:rsidR="000A4D4A" w:rsidRPr="00114227">
        <w:rPr>
          <w:rFonts w:ascii="Sylfaen" w:hAnsi="Sylfaen" w:cs="Segoe UI"/>
          <w:sz w:val="20"/>
          <w:szCs w:val="20"/>
          <w:lang w:val="ka-GE"/>
        </w:rPr>
        <w:t>ჩვენი რეგიონიდან მომდინარე ეკონომიკური რისკები</w:t>
      </w:r>
      <w:r w:rsidR="00945B6B" w:rsidRPr="00114227">
        <w:rPr>
          <w:rFonts w:ascii="Sylfaen" w:hAnsi="Sylfaen" w:cs="Segoe UI"/>
          <w:sz w:val="20"/>
          <w:szCs w:val="20"/>
          <w:lang w:val="ka-GE"/>
        </w:rPr>
        <w:t xml:space="preserve"> ძირითადად შემდეგი </w:t>
      </w:r>
      <w:r w:rsidR="00C33EA6" w:rsidRPr="00114227">
        <w:rPr>
          <w:rFonts w:ascii="Sylfaen" w:hAnsi="Sylfaen" w:cs="Segoe UI"/>
          <w:sz w:val="20"/>
          <w:szCs w:val="20"/>
          <w:lang w:val="ka-GE"/>
        </w:rPr>
        <w:t>გარემოე</w:t>
      </w:r>
      <w:r w:rsidR="00945B6B" w:rsidRPr="00114227">
        <w:rPr>
          <w:rFonts w:ascii="Sylfaen" w:hAnsi="Sylfaen" w:cs="Segoe UI"/>
          <w:sz w:val="20"/>
          <w:szCs w:val="20"/>
          <w:lang w:val="ka-GE"/>
        </w:rPr>
        <w:t>ბებით არის განპირობებული</w:t>
      </w:r>
      <w:r w:rsidR="000A4D4A" w:rsidRPr="00114227">
        <w:rPr>
          <w:rFonts w:ascii="Sylfaen" w:hAnsi="Sylfaen" w:cs="Segoe UI"/>
          <w:sz w:val="20"/>
          <w:szCs w:val="20"/>
        </w:rPr>
        <w:t>:</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მთელი რიგი ქვეყნების მაღალი დამოკიდებულობა ნავთობსა და სხვა ნედლეულ პროდუქტებზე;</w:t>
      </w:r>
    </w:p>
    <w:p w:rsidR="00384655" w:rsidRPr="00114227" w:rsidRDefault="00384655"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მნიშვნელოვანი სასურსათო ნედლეულის დეფიციტი;</w:t>
      </w:r>
      <w:r w:rsidRPr="00114227">
        <w:rPr>
          <w:rFonts w:ascii="Sylfaen" w:hAnsi="Sylfaen" w:cs="Segoe UI"/>
          <w:sz w:val="20"/>
          <w:szCs w:val="20"/>
          <w:lang w:val="ka-GE"/>
        </w:rPr>
        <w:t xml:space="preserve"> </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ეკონომიკების დივერსიფიკაციის დაბალი დონე;</w:t>
      </w:r>
    </w:p>
    <w:p w:rsidR="000A4D4A" w:rsidRPr="00114227" w:rsidRDefault="000A4D4A" w:rsidP="00544F05">
      <w:pPr>
        <w:pStyle w:val="ListParagraph"/>
        <w:numPr>
          <w:ilvl w:val="0"/>
          <w:numId w:val="18"/>
        </w:numPr>
        <w:spacing w:before="240" w:line="276" w:lineRule="auto"/>
        <w:jc w:val="both"/>
        <w:rPr>
          <w:rFonts w:ascii="Sylfaen" w:hAnsi="Sylfaen" w:cs="Segoe UI"/>
          <w:sz w:val="20"/>
          <w:szCs w:val="20"/>
        </w:rPr>
      </w:pPr>
      <w:r w:rsidRPr="00114227">
        <w:rPr>
          <w:rFonts w:ascii="Sylfaen" w:hAnsi="Sylfaen" w:cs="Segoe UI"/>
          <w:sz w:val="20"/>
          <w:szCs w:val="20"/>
        </w:rPr>
        <w:t>შიდა პოლიტიკური პრობლემები და არამდგრადობა;</w:t>
      </w:r>
    </w:p>
    <w:p w:rsidR="00384655" w:rsidRPr="00114227" w:rsidRDefault="00384655" w:rsidP="00544F05">
      <w:pPr>
        <w:pStyle w:val="ListParagraph"/>
        <w:numPr>
          <w:ilvl w:val="0"/>
          <w:numId w:val="18"/>
        </w:numPr>
        <w:spacing w:before="240" w:line="276" w:lineRule="auto"/>
        <w:jc w:val="both"/>
        <w:rPr>
          <w:rFonts w:ascii="Sylfaen" w:hAnsi="Sylfaen"/>
        </w:rPr>
      </w:pPr>
      <w:r w:rsidRPr="00114227">
        <w:rPr>
          <w:rFonts w:ascii="Sylfaen" w:hAnsi="Sylfaen" w:cs="Segoe UI"/>
          <w:sz w:val="20"/>
          <w:szCs w:val="20"/>
        </w:rPr>
        <w:t>სანქციებით გამოწვეული გრძელვადიანი უარყოფითი ეფექტები</w:t>
      </w:r>
      <w:r w:rsidRPr="00114227">
        <w:rPr>
          <w:rFonts w:ascii="Sylfaen" w:hAnsi="Sylfaen" w:cs="Segoe UI"/>
          <w:sz w:val="20"/>
          <w:szCs w:val="20"/>
          <w:lang w:val="ka-GE"/>
        </w:rPr>
        <w:t xml:space="preserve">; </w:t>
      </w:r>
    </w:p>
    <w:p w:rsidR="00945B6B" w:rsidRPr="00114227" w:rsidRDefault="00945B6B" w:rsidP="00544F05">
      <w:pPr>
        <w:pStyle w:val="ListParagraph"/>
        <w:numPr>
          <w:ilvl w:val="0"/>
          <w:numId w:val="18"/>
        </w:numPr>
        <w:spacing w:before="240" w:line="276" w:lineRule="auto"/>
        <w:jc w:val="both"/>
        <w:rPr>
          <w:rFonts w:ascii="Sylfaen" w:hAnsi="Sylfaen"/>
        </w:rPr>
      </w:pPr>
      <w:r w:rsidRPr="00114227">
        <w:rPr>
          <w:rFonts w:ascii="Sylfaen" w:hAnsi="Sylfaen" w:cs="Segoe UI"/>
          <w:sz w:val="20"/>
          <w:szCs w:val="20"/>
          <w:lang w:val="ka-GE"/>
        </w:rPr>
        <w:t>გაყინული კონფლიქტები.</w:t>
      </w:r>
    </w:p>
    <w:p w:rsidR="000A4D4A" w:rsidRPr="00114227" w:rsidRDefault="000A4D4A" w:rsidP="00544F05">
      <w:pPr>
        <w:spacing w:before="240" w:line="276" w:lineRule="auto"/>
        <w:ind w:firstLine="540"/>
        <w:jc w:val="both"/>
        <w:rPr>
          <w:rFonts w:ascii="Sylfaen" w:hAnsi="Sylfaen" w:cs="Segoe UI"/>
          <w:sz w:val="20"/>
          <w:szCs w:val="20"/>
          <w:lang w:val="ka-GE"/>
        </w:rPr>
      </w:pPr>
      <w:r w:rsidRPr="00114227">
        <w:rPr>
          <w:rFonts w:ascii="Sylfaen" w:hAnsi="Sylfaen" w:cs="Segoe UI"/>
          <w:sz w:val="20"/>
          <w:szCs w:val="20"/>
          <w:lang w:val="ka-GE"/>
        </w:rPr>
        <w:t>რეგიონიდან მომავალი რისკები კვლავაც იქნება ჩვენი ეკონომიკის მთავარი პრობლემა</w:t>
      </w:r>
      <w:r w:rsidR="00A5654D">
        <w:rPr>
          <w:rFonts w:ascii="Sylfaen" w:hAnsi="Sylfaen" w:cs="Segoe UI"/>
          <w:sz w:val="20"/>
          <w:szCs w:val="20"/>
          <w:lang w:val="ka-GE"/>
        </w:rPr>
        <w:t>,</w:t>
      </w:r>
      <w:r w:rsidRPr="00114227">
        <w:rPr>
          <w:rFonts w:ascii="Sylfaen" w:hAnsi="Sylfaen" w:cs="Segoe UI"/>
          <w:sz w:val="20"/>
          <w:szCs w:val="20"/>
          <w:lang w:val="ka-GE"/>
        </w:rPr>
        <w:t xml:space="preserve"> </w:t>
      </w:r>
      <w:r w:rsidR="00A5654D">
        <w:rPr>
          <w:rFonts w:ascii="Sylfaen" w:hAnsi="Sylfaen" w:cs="Segoe UI"/>
          <w:sz w:val="20"/>
          <w:szCs w:val="20"/>
          <w:lang w:val="ka-GE"/>
        </w:rPr>
        <w:t xml:space="preserve">მისი რეალიზაცია კი გააძლიერებს ინფლაციურ წნეხს. </w:t>
      </w:r>
      <w:r w:rsidRPr="00114227">
        <w:rPr>
          <w:rFonts w:ascii="Sylfaen" w:hAnsi="Sylfaen" w:cs="Segoe UI"/>
          <w:sz w:val="20"/>
          <w:szCs w:val="20"/>
          <w:lang w:val="ka-GE"/>
        </w:rPr>
        <w:t>ეკონომიკის მოწყვლადობის კონტროლი ძალიან მნიშვნელოვანია ეკონომიკური სირთულეების შესამცირებლად.</w:t>
      </w:r>
    </w:p>
    <w:p w:rsidR="00194344" w:rsidRPr="00B207A3" w:rsidRDefault="00194344" w:rsidP="00544F05">
      <w:pPr>
        <w:spacing w:before="240" w:line="276" w:lineRule="auto"/>
        <w:jc w:val="both"/>
        <w:rPr>
          <w:rFonts w:ascii="Segoe UI" w:hAnsi="Segoe UI" w:cs="Segoe UI"/>
          <w:sz w:val="20"/>
          <w:szCs w:val="20"/>
          <w:lang w:val="ka-GE"/>
        </w:rPr>
      </w:pPr>
    </w:p>
    <w:p w:rsidR="00194344" w:rsidRPr="003A6407" w:rsidRDefault="00194344" w:rsidP="00544F05">
      <w:pPr>
        <w:pStyle w:val="Heading2"/>
        <w:spacing w:before="240" w:line="276" w:lineRule="auto"/>
      </w:pPr>
      <w:r>
        <w:t xml:space="preserve"> </w:t>
      </w:r>
      <w:r w:rsidR="00F7151E">
        <w:t xml:space="preserve">ინფლაციის შედეგად გამკაცრებული მონეტარული პოლიტიკა </w:t>
      </w:r>
    </w:p>
    <w:p w:rsidR="004D4372" w:rsidRPr="00732978" w:rsidRDefault="004D4372" w:rsidP="004D4372">
      <w:pPr>
        <w:spacing w:before="240" w:line="276" w:lineRule="auto"/>
        <w:ind w:firstLine="360"/>
        <w:jc w:val="both"/>
        <w:rPr>
          <w:rFonts w:ascii="Sylfaen" w:hAnsi="Sylfaen"/>
          <w:sz w:val="20"/>
          <w:szCs w:val="20"/>
        </w:rPr>
      </w:pPr>
      <w:r w:rsidRPr="00732978">
        <w:rPr>
          <w:rFonts w:ascii="Sylfaen" w:hAnsi="Sylfaen"/>
          <w:sz w:val="20"/>
          <w:szCs w:val="20"/>
          <w:lang w:val="ka-GE"/>
        </w:rPr>
        <w:t>რუსეთ-</w:t>
      </w:r>
      <w:r w:rsidRPr="00732978">
        <w:rPr>
          <w:rFonts w:ascii="Sylfaen" w:hAnsi="Sylfaen"/>
          <w:sz w:val="20"/>
          <w:szCs w:val="20"/>
        </w:rPr>
        <w:t>უკრაინის ომ</w:t>
      </w:r>
      <w:r w:rsidRPr="00732978">
        <w:rPr>
          <w:rFonts w:ascii="Sylfaen" w:hAnsi="Sylfaen"/>
          <w:sz w:val="20"/>
          <w:szCs w:val="20"/>
          <w:lang w:val="ka-GE"/>
        </w:rPr>
        <w:t>ისა</w:t>
      </w:r>
      <w:r w:rsidRPr="00732978">
        <w:rPr>
          <w:rFonts w:ascii="Sylfaen" w:hAnsi="Sylfaen"/>
          <w:sz w:val="20"/>
          <w:szCs w:val="20"/>
        </w:rPr>
        <w:t xml:space="preserve"> და რუსეთის ფედერაციის წინააღმდეგ დაწესებულ</w:t>
      </w:r>
      <w:r w:rsidRPr="00732978">
        <w:rPr>
          <w:rFonts w:ascii="Sylfaen" w:hAnsi="Sylfaen"/>
          <w:sz w:val="20"/>
          <w:szCs w:val="20"/>
          <w:lang w:val="ka-GE"/>
        </w:rPr>
        <w:t xml:space="preserve">ი </w:t>
      </w:r>
      <w:r w:rsidRPr="00732978">
        <w:rPr>
          <w:rFonts w:ascii="Sylfaen" w:hAnsi="Sylfaen"/>
          <w:sz w:val="20"/>
          <w:szCs w:val="20"/>
        </w:rPr>
        <w:t>სანქციებ</w:t>
      </w:r>
      <w:r w:rsidRPr="00732978">
        <w:rPr>
          <w:rFonts w:ascii="Sylfaen" w:hAnsi="Sylfaen"/>
          <w:sz w:val="20"/>
          <w:szCs w:val="20"/>
          <w:lang w:val="ka-GE"/>
        </w:rPr>
        <w:t>ის შედეგად</w:t>
      </w:r>
      <w:r w:rsidRPr="00732978">
        <w:rPr>
          <w:rFonts w:ascii="Sylfaen" w:hAnsi="Sylfaen"/>
          <w:sz w:val="20"/>
          <w:szCs w:val="20"/>
        </w:rPr>
        <w:t xml:space="preserve"> ნავთობისა და სურსათის ფასები რეკორდულ მაჩვენებლამდე </w:t>
      </w:r>
      <w:r w:rsidRPr="00732978">
        <w:rPr>
          <w:rFonts w:ascii="Sylfaen" w:hAnsi="Sylfaen"/>
          <w:sz w:val="20"/>
          <w:szCs w:val="20"/>
          <w:lang w:val="ka-GE"/>
        </w:rPr>
        <w:t>გაიზარდა</w:t>
      </w:r>
      <w:r w:rsidRPr="00732978">
        <w:rPr>
          <w:rFonts w:ascii="Sylfaen" w:hAnsi="Sylfaen"/>
          <w:sz w:val="20"/>
          <w:szCs w:val="20"/>
        </w:rPr>
        <w:t xml:space="preserve">, რასაც </w:t>
      </w:r>
      <w:r w:rsidRPr="00732978">
        <w:rPr>
          <w:rFonts w:ascii="Sylfaen" w:hAnsi="Sylfaen"/>
          <w:sz w:val="20"/>
          <w:szCs w:val="20"/>
          <w:lang w:val="ka-GE"/>
        </w:rPr>
        <w:t>თან ერთვის</w:t>
      </w:r>
      <w:r w:rsidRPr="00732978">
        <w:rPr>
          <w:rFonts w:ascii="Sylfaen" w:hAnsi="Sylfaen"/>
          <w:sz w:val="20"/>
          <w:szCs w:val="20"/>
        </w:rPr>
        <w:t xml:space="preserve"> </w:t>
      </w:r>
      <w:r w:rsidRPr="00732978">
        <w:rPr>
          <w:rFonts w:ascii="Sylfaen" w:hAnsi="Sylfaen"/>
          <w:sz w:val="20"/>
          <w:szCs w:val="20"/>
          <w:lang w:val="ka-GE"/>
        </w:rPr>
        <w:t xml:space="preserve">მიწოდების ჯაჭვის შეფერხება, ვინაიდან რუსეთი და უკრაინა სასოფლო-სამეურნეო საქონლის ძირითადი მიმწოდებლები არიან და კონფლიქტმა პირდაპირ შეაფერხა ნედლი ნავთობის, ბუნებრივი აირის, მარცვლეულის და საკვების მიწოდება. ენერგომატარებლებზე და საკვებ პროდუქტებზე მზარდი ფასებით. მიწოდების ჯაჭვების შეფერხების შედეგად მნიშვნელოვნად იზრდება გლობალური ინფლაცია. </w:t>
      </w:r>
      <w:r w:rsidR="00DD7891">
        <w:rPr>
          <w:rFonts w:ascii="Sylfaen" w:hAnsi="Sylfaen"/>
          <w:sz w:val="20"/>
          <w:szCs w:val="20"/>
          <w:lang w:val="ka-GE"/>
        </w:rPr>
        <w:t xml:space="preserve">უკრაიანში მიმდინარე კონფლიქტის ფონზე მოსალოდნელია ინფლაციური ზეწოლის შენარჩუნება საშუალოვადიან პერიოდშიც. </w:t>
      </w:r>
      <w:r w:rsidRPr="00732978">
        <w:rPr>
          <w:rFonts w:ascii="Sylfaen" w:hAnsi="Sylfaen"/>
          <w:sz w:val="20"/>
          <w:szCs w:val="20"/>
          <w:lang w:val="ka-GE"/>
        </w:rPr>
        <w:t xml:space="preserve">აშშ-ში ინფლაციამ რამდენიმე ათწლეულის მაქსიმუმს მიაღწია ბოლო თვეებში, რამაც აიძულა ფედ-ი, გაეზარდა საპროცენტო განაკვეთები და დაიწყო გლობალური მონეტარული გამკაცრების ციკლი. </w:t>
      </w:r>
      <w:r w:rsidR="00753BF8">
        <w:rPr>
          <w:rFonts w:ascii="Sylfaen" w:hAnsi="Sylfaen"/>
          <w:sz w:val="20"/>
          <w:szCs w:val="20"/>
          <w:lang w:val="ka-GE"/>
        </w:rPr>
        <w:t xml:space="preserve">გაზრდილი ინფლაციის საპასუხოდ უპროცედენტო გამკაცრებას აქვს ასევე ადგილი ევროპოს ცენტრალური ბანკის მხრიდანაც. </w:t>
      </w:r>
      <w:r w:rsidRPr="00732978">
        <w:rPr>
          <w:rFonts w:ascii="Sylfaen" w:hAnsi="Sylfaen"/>
          <w:sz w:val="20"/>
          <w:szCs w:val="20"/>
        </w:rPr>
        <w:t>ინფლაცია</w:t>
      </w:r>
      <w:r w:rsidRPr="00732978">
        <w:rPr>
          <w:rFonts w:ascii="Sylfaen" w:hAnsi="Sylfaen"/>
          <w:sz w:val="20"/>
          <w:szCs w:val="20"/>
          <w:lang w:val="ka-GE"/>
        </w:rPr>
        <w:t xml:space="preserve"> </w:t>
      </w:r>
      <w:r w:rsidRPr="00732978">
        <w:rPr>
          <w:rFonts w:ascii="Sylfaen" w:hAnsi="Sylfaen"/>
          <w:sz w:val="20"/>
          <w:szCs w:val="20"/>
        </w:rPr>
        <w:t>ასევე მკვეთრად იზრდება</w:t>
      </w:r>
      <w:r w:rsidRPr="00732978">
        <w:rPr>
          <w:rFonts w:ascii="Sylfaen" w:hAnsi="Sylfaen"/>
          <w:sz w:val="20"/>
          <w:szCs w:val="20"/>
          <w:lang w:val="ka-GE"/>
        </w:rPr>
        <w:t xml:space="preserve"> </w:t>
      </w:r>
      <w:r w:rsidRPr="00732978">
        <w:rPr>
          <w:rFonts w:ascii="Sylfaen" w:hAnsi="Sylfaen"/>
          <w:sz w:val="20"/>
          <w:szCs w:val="20"/>
        </w:rPr>
        <w:t>განვითარებად ქვეყნებში</w:t>
      </w:r>
      <w:r w:rsidRPr="00732978">
        <w:rPr>
          <w:rFonts w:ascii="Sylfaen" w:hAnsi="Sylfaen"/>
          <w:sz w:val="20"/>
          <w:szCs w:val="20"/>
          <w:lang w:val="ka-GE"/>
        </w:rPr>
        <w:t xml:space="preserve">, სადაც ინფლაცია </w:t>
      </w:r>
      <w:r w:rsidRPr="00732978">
        <w:rPr>
          <w:rFonts w:ascii="Sylfaen" w:hAnsi="Sylfaen"/>
          <w:sz w:val="20"/>
          <w:szCs w:val="20"/>
        </w:rPr>
        <w:t>ზოგადად უფრო მაღალი და არასტაბილური</w:t>
      </w:r>
      <w:r w:rsidRPr="00732978">
        <w:rPr>
          <w:rFonts w:ascii="Sylfaen" w:hAnsi="Sylfaen"/>
          <w:sz w:val="20"/>
          <w:szCs w:val="20"/>
          <w:lang w:val="ka-GE"/>
        </w:rPr>
        <w:t xml:space="preserve">ა.  </w:t>
      </w:r>
      <w:r w:rsidRPr="00732978">
        <w:rPr>
          <w:rFonts w:ascii="Sylfaen" w:hAnsi="Sylfaen"/>
          <w:sz w:val="20"/>
          <w:szCs w:val="20"/>
        </w:rPr>
        <w:t xml:space="preserve"> </w:t>
      </w:r>
    </w:p>
    <w:p w:rsidR="004D4372" w:rsidRPr="00BF3884" w:rsidRDefault="004D4372" w:rsidP="004D4372">
      <w:pPr>
        <w:spacing w:before="240" w:line="276" w:lineRule="auto"/>
        <w:ind w:firstLine="360"/>
        <w:jc w:val="both"/>
        <w:rPr>
          <w:rFonts w:ascii="Sylfaen" w:hAnsi="Sylfaen"/>
          <w:sz w:val="20"/>
          <w:szCs w:val="20"/>
          <w:lang w:val="ka-GE"/>
        </w:rPr>
      </w:pPr>
      <w:r w:rsidRPr="00732978">
        <w:rPr>
          <w:rFonts w:ascii="Sylfaen" w:hAnsi="Sylfaen"/>
          <w:sz w:val="20"/>
          <w:szCs w:val="20"/>
        </w:rPr>
        <w:t xml:space="preserve">უფრო მეტიც, ფედერალური სარეზერვო ბანკის </w:t>
      </w:r>
      <w:r w:rsidR="00753BF8">
        <w:rPr>
          <w:rFonts w:ascii="Sylfaen" w:hAnsi="Sylfaen"/>
          <w:sz w:val="20"/>
          <w:szCs w:val="20"/>
          <w:lang w:val="ka-GE"/>
        </w:rPr>
        <w:t xml:space="preserve">და ევროპის ცენტრალური ბანკის </w:t>
      </w:r>
      <w:r w:rsidRPr="00732978">
        <w:rPr>
          <w:rFonts w:ascii="Sylfaen" w:hAnsi="Sylfaen"/>
          <w:sz w:val="20"/>
          <w:szCs w:val="20"/>
        </w:rPr>
        <w:t>მიერ მოსალოდნელზე უფრო სწრაფად მონეტარულ გამკაცრება</w:t>
      </w:r>
      <w:r w:rsidRPr="00732978">
        <w:rPr>
          <w:rFonts w:ascii="Sylfaen" w:hAnsi="Sylfaen"/>
          <w:sz w:val="20"/>
          <w:szCs w:val="20"/>
          <w:lang w:val="ka-GE"/>
        </w:rPr>
        <w:t xml:space="preserve">ს შესაძლოა ჰქონდეს უარყოფითი გავლენა სხვა ქვეყნებზე, მაგალითად </w:t>
      </w:r>
      <w:r w:rsidRPr="00732978">
        <w:rPr>
          <w:rFonts w:ascii="Sylfaen" w:hAnsi="Sylfaen"/>
          <w:sz w:val="20"/>
          <w:szCs w:val="20"/>
        </w:rPr>
        <w:t xml:space="preserve">გლობალური დაფინანსების პირობების გაუარესებამ შეიძლება გამოიწვიოს მნიშვნელოვანი კაპიტალის გადინება და </w:t>
      </w:r>
      <w:r w:rsidRPr="00732978">
        <w:rPr>
          <w:rFonts w:ascii="Sylfaen" w:hAnsi="Sylfaen"/>
          <w:sz w:val="20"/>
          <w:szCs w:val="20"/>
          <w:lang w:val="ka-GE"/>
        </w:rPr>
        <w:t>ეროვნული</w:t>
      </w:r>
      <w:r w:rsidRPr="00732978">
        <w:rPr>
          <w:rFonts w:ascii="Sylfaen" w:hAnsi="Sylfaen"/>
          <w:sz w:val="20"/>
          <w:szCs w:val="20"/>
        </w:rPr>
        <w:t xml:space="preserve"> ვალუტის მკვეთრი გაუფასურება განვითარებად ქვეყნებში, რაც კიდევ უფრო გაამწვავებს ინფლაციას. </w:t>
      </w:r>
    </w:p>
    <w:p w:rsidR="004D4372" w:rsidRDefault="004D4372" w:rsidP="004D4372">
      <w:pPr>
        <w:spacing w:before="240" w:line="276" w:lineRule="auto"/>
        <w:ind w:firstLine="360"/>
        <w:jc w:val="both"/>
        <w:rPr>
          <w:rFonts w:ascii="Sylfaen" w:hAnsi="Sylfaen"/>
          <w:sz w:val="20"/>
          <w:szCs w:val="20"/>
          <w:lang w:val="ka-GE"/>
        </w:rPr>
      </w:pPr>
      <w:r w:rsidRPr="00732978">
        <w:rPr>
          <w:rFonts w:ascii="Sylfaen" w:hAnsi="Sylfaen"/>
          <w:sz w:val="20"/>
          <w:szCs w:val="20"/>
        </w:rPr>
        <w:t>სიტუაცია უფრო რთულდება განვითარებადი ქვეყნების</w:t>
      </w:r>
      <w:r w:rsidRPr="00732978">
        <w:rPr>
          <w:rFonts w:ascii="Sylfaen" w:hAnsi="Sylfaen"/>
          <w:sz w:val="20"/>
          <w:szCs w:val="20"/>
          <w:lang w:val="ka-GE"/>
        </w:rPr>
        <w:t>თვის</w:t>
      </w:r>
      <w:r w:rsidRPr="00732978">
        <w:rPr>
          <w:rFonts w:ascii="Sylfaen" w:hAnsi="Sylfaen"/>
          <w:sz w:val="20"/>
          <w:szCs w:val="20"/>
        </w:rPr>
        <w:t xml:space="preserve">, რადგან </w:t>
      </w:r>
      <w:r w:rsidR="00753BF8">
        <w:rPr>
          <w:rFonts w:ascii="Sylfaen" w:hAnsi="Sylfaen"/>
          <w:sz w:val="20"/>
          <w:szCs w:val="20"/>
          <w:lang w:val="ka-GE"/>
        </w:rPr>
        <w:t>მაგალით</w:t>
      </w:r>
      <w:r w:rsidR="001C2052">
        <w:rPr>
          <w:rFonts w:ascii="Sylfaen" w:hAnsi="Sylfaen"/>
          <w:sz w:val="20"/>
          <w:szCs w:val="20"/>
          <w:lang w:val="ka-GE"/>
        </w:rPr>
        <w:t>ა</w:t>
      </w:r>
      <w:r w:rsidR="00753BF8">
        <w:rPr>
          <w:rFonts w:ascii="Sylfaen" w:hAnsi="Sylfaen"/>
          <w:sz w:val="20"/>
          <w:szCs w:val="20"/>
          <w:lang w:val="ka-GE"/>
        </w:rPr>
        <w:t xml:space="preserve">დ </w:t>
      </w:r>
      <w:r w:rsidRPr="00732978">
        <w:rPr>
          <w:rFonts w:ascii="Sylfaen" w:hAnsi="Sylfaen"/>
          <w:sz w:val="20"/>
          <w:szCs w:val="20"/>
          <w:lang w:val="ka-GE"/>
        </w:rPr>
        <w:t xml:space="preserve">ფედ-ის </w:t>
      </w:r>
      <w:r w:rsidRPr="00732978">
        <w:rPr>
          <w:rFonts w:ascii="Sylfaen" w:hAnsi="Sylfaen"/>
          <w:sz w:val="20"/>
          <w:szCs w:val="20"/>
        </w:rPr>
        <w:t>მიერ საპროცენტო განაკვეთების ზრდა გამო</w:t>
      </w:r>
      <w:r w:rsidRPr="00732978">
        <w:rPr>
          <w:rFonts w:ascii="Sylfaen" w:hAnsi="Sylfaen"/>
          <w:sz w:val="20"/>
          <w:szCs w:val="20"/>
          <w:lang w:val="ka-GE"/>
        </w:rPr>
        <w:t>ი</w:t>
      </w:r>
      <w:r w:rsidRPr="00732978">
        <w:rPr>
          <w:rFonts w:ascii="Sylfaen" w:hAnsi="Sylfaen"/>
          <w:sz w:val="20"/>
          <w:szCs w:val="20"/>
        </w:rPr>
        <w:t xml:space="preserve">წვევს </w:t>
      </w:r>
      <w:r w:rsidRPr="00732978">
        <w:rPr>
          <w:rFonts w:ascii="Sylfaen" w:hAnsi="Sylfaen"/>
          <w:sz w:val="20"/>
          <w:szCs w:val="20"/>
          <w:lang w:val="ka-GE"/>
        </w:rPr>
        <w:t>(</w:t>
      </w:r>
      <w:r w:rsidRPr="00732978">
        <w:rPr>
          <w:rFonts w:ascii="Sylfaen" w:hAnsi="Sylfaen"/>
          <w:sz w:val="20"/>
          <w:szCs w:val="20"/>
        </w:rPr>
        <w:t>შესაბამისად</w:t>
      </w:r>
      <w:r w:rsidRPr="00732978">
        <w:rPr>
          <w:rFonts w:ascii="Sylfaen" w:hAnsi="Sylfaen"/>
          <w:sz w:val="20"/>
          <w:szCs w:val="20"/>
          <w:lang w:val="ka-GE"/>
        </w:rPr>
        <w:t>,</w:t>
      </w:r>
      <w:r w:rsidRPr="00732978">
        <w:rPr>
          <w:rFonts w:ascii="Sylfaen" w:hAnsi="Sylfaen"/>
          <w:sz w:val="20"/>
          <w:szCs w:val="20"/>
        </w:rPr>
        <w:t xml:space="preserve"> აშშ-</w:t>
      </w:r>
      <w:r w:rsidRPr="00732978">
        <w:rPr>
          <w:rFonts w:ascii="Sylfaen" w:hAnsi="Sylfaen"/>
          <w:sz w:val="20"/>
          <w:szCs w:val="20"/>
          <w:lang w:val="ka-GE"/>
        </w:rPr>
        <w:t>ი</w:t>
      </w:r>
      <w:r w:rsidRPr="00732978">
        <w:rPr>
          <w:rFonts w:ascii="Sylfaen" w:hAnsi="Sylfaen"/>
          <w:sz w:val="20"/>
          <w:szCs w:val="20"/>
        </w:rPr>
        <w:t>ს ობლიგაციები უფრო მეტ</w:t>
      </w:r>
      <w:r w:rsidRPr="00732978">
        <w:rPr>
          <w:rFonts w:ascii="Sylfaen" w:hAnsi="Sylfaen"/>
          <w:sz w:val="20"/>
          <w:szCs w:val="20"/>
          <w:lang w:val="ka-GE"/>
        </w:rPr>
        <w:t>ად</w:t>
      </w:r>
      <w:r w:rsidRPr="00732978">
        <w:rPr>
          <w:rFonts w:ascii="Sylfaen" w:hAnsi="Sylfaen"/>
          <w:sz w:val="20"/>
          <w:szCs w:val="20"/>
        </w:rPr>
        <w:t xml:space="preserve"> </w:t>
      </w:r>
      <w:r w:rsidRPr="00732978">
        <w:rPr>
          <w:rFonts w:ascii="Sylfaen" w:hAnsi="Sylfaen"/>
          <w:sz w:val="20"/>
          <w:szCs w:val="20"/>
          <w:lang w:val="ka-GE"/>
        </w:rPr>
        <w:t xml:space="preserve">შემოსავლიანი გახდება) განვითარებადი ბაზრებიდან </w:t>
      </w:r>
      <w:r w:rsidRPr="00732978">
        <w:rPr>
          <w:rFonts w:ascii="Sylfaen" w:hAnsi="Sylfaen"/>
          <w:sz w:val="20"/>
          <w:szCs w:val="20"/>
        </w:rPr>
        <w:t>ინვესტორები</w:t>
      </w:r>
      <w:r w:rsidRPr="00732978">
        <w:rPr>
          <w:rFonts w:ascii="Sylfaen" w:hAnsi="Sylfaen"/>
          <w:sz w:val="20"/>
          <w:szCs w:val="20"/>
          <w:lang w:val="ka-GE"/>
        </w:rPr>
        <w:t>ს მიერ თანხების გადინებას. ამას თან ერთვის რეგიონში მიმდინარე ომი, რამაც შესაძლოა ინვესტორები მეტად ფრთხილები გახადონ რეგიონში ინვესტიციების განხორციელებისგან. აღნიშნულის შედეგად მოსალოდნელია პირდაპირი უცხოური ინვესტიციების შემცირების რისკი საშუალოვადიან პერიოდში.</w:t>
      </w:r>
      <w:r w:rsidRPr="00C64F1B">
        <w:rPr>
          <w:rFonts w:ascii="Sylfaen" w:hAnsi="Sylfaen"/>
          <w:sz w:val="20"/>
          <w:szCs w:val="20"/>
          <w:lang w:val="ka-GE"/>
        </w:rPr>
        <w:t xml:space="preserve"> </w:t>
      </w:r>
    </w:p>
    <w:p w:rsidR="00CA4213" w:rsidRDefault="00CA4213" w:rsidP="004D4372">
      <w:pPr>
        <w:spacing w:before="240" w:line="276" w:lineRule="auto"/>
        <w:ind w:firstLine="360"/>
        <w:jc w:val="both"/>
        <w:rPr>
          <w:rFonts w:ascii="Sylfaen" w:hAnsi="Sylfaen"/>
          <w:sz w:val="20"/>
          <w:szCs w:val="20"/>
          <w:lang w:val="ka-GE"/>
        </w:rPr>
      </w:pPr>
    </w:p>
    <w:p w:rsidR="00CA4213" w:rsidRDefault="00CA4213" w:rsidP="005529F1">
      <w:pPr>
        <w:pStyle w:val="Heading2"/>
      </w:pPr>
      <w:r w:rsidRPr="005529F1">
        <w:t xml:space="preserve">მსოფლიოში მოსალოდნელი რეცესია </w:t>
      </w:r>
    </w:p>
    <w:p w:rsidR="00626534" w:rsidRDefault="00673EA7" w:rsidP="001C3D10">
      <w:pPr>
        <w:spacing w:before="240" w:line="276" w:lineRule="auto"/>
        <w:ind w:firstLine="360"/>
        <w:jc w:val="both"/>
        <w:rPr>
          <w:rFonts w:ascii="Sylfaen" w:hAnsi="Sylfaen"/>
          <w:sz w:val="20"/>
          <w:szCs w:val="20"/>
          <w:lang w:val="ka-GE"/>
        </w:rPr>
      </w:pPr>
      <w:r>
        <w:rPr>
          <w:rFonts w:ascii="Sylfaen" w:hAnsi="Sylfaen"/>
          <w:sz w:val="20"/>
          <w:szCs w:val="20"/>
          <w:lang w:val="ka-GE"/>
        </w:rPr>
        <w:t xml:space="preserve">მსოფლიოში მიმდინარე პროცესებიდან გამომდინარე, რაც დაკავშირებულია </w:t>
      </w:r>
      <w:r w:rsidR="00FD1A42">
        <w:rPr>
          <w:rFonts w:ascii="Sylfaen" w:hAnsi="Sylfaen"/>
          <w:sz w:val="20"/>
          <w:szCs w:val="20"/>
          <w:lang w:val="ka-GE"/>
        </w:rPr>
        <w:t>როგორც პანდემიიდან მომდინარე შედეგებ</w:t>
      </w:r>
      <w:r w:rsidR="0077059B">
        <w:rPr>
          <w:rFonts w:ascii="Sylfaen" w:hAnsi="Sylfaen"/>
          <w:sz w:val="20"/>
          <w:szCs w:val="20"/>
          <w:lang w:val="ka-GE"/>
        </w:rPr>
        <w:t>თან</w:t>
      </w:r>
      <w:r w:rsidR="00FD1A42">
        <w:rPr>
          <w:rFonts w:ascii="Sylfaen" w:hAnsi="Sylfaen"/>
          <w:sz w:val="20"/>
          <w:szCs w:val="20"/>
          <w:lang w:val="ka-GE"/>
        </w:rPr>
        <w:t xml:space="preserve">, ასევე - </w:t>
      </w:r>
      <w:r>
        <w:rPr>
          <w:rFonts w:ascii="Sylfaen" w:hAnsi="Sylfaen"/>
          <w:sz w:val="20"/>
          <w:szCs w:val="20"/>
          <w:lang w:val="ka-GE"/>
        </w:rPr>
        <w:t>რუსეთის მიერ უკრაინაში შეჭრასთან და რუსეთის მიმართ დაწესებულ სანქციებთან, ნაკლებად არის მოსალოდნელი მსოფლიო ეკონომიკის გაუმჯობესება</w:t>
      </w:r>
      <w:r w:rsidR="0077059B">
        <w:rPr>
          <w:rFonts w:ascii="Sylfaen" w:hAnsi="Sylfaen"/>
          <w:sz w:val="20"/>
          <w:szCs w:val="20"/>
          <w:lang w:val="ka-GE"/>
        </w:rPr>
        <w:t xml:space="preserve"> საშუალოვადიან პერიოდში</w:t>
      </w:r>
      <w:r>
        <w:rPr>
          <w:rFonts w:ascii="Sylfaen" w:hAnsi="Sylfaen"/>
          <w:sz w:val="20"/>
          <w:szCs w:val="20"/>
          <w:lang w:val="ka-GE"/>
        </w:rPr>
        <w:t xml:space="preserve">. </w:t>
      </w:r>
      <w:r w:rsidR="00626534">
        <w:rPr>
          <w:rFonts w:ascii="Sylfaen" w:hAnsi="Sylfaen"/>
          <w:sz w:val="20"/>
          <w:szCs w:val="20"/>
          <w:lang w:val="ka-GE"/>
        </w:rPr>
        <w:t>უკრაინაში არსებული ომისა და რუსეთის მიმართ დაწესებული სანქციების კვალდაკვალ საფრთხე ექმნება მსოფლიო ვაჭრობის</w:t>
      </w:r>
      <w:r w:rsidR="001C3D10">
        <w:rPr>
          <w:rFonts w:ascii="Sylfaen" w:hAnsi="Sylfaen"/>
          <w:sz w:val="20"/>
          <w:szCs w:val="20"/>
          <w:lang w:val="ka-GE"/>
        </w:rPr>
        <w:t>ა</w:t>
      </w:r>
      <w:r w:rsidR="00626534">
        <w:rPr>
          <w:rFonts w:ascii="Sylfaen" w:hAnsi="Sylfaen"/>
          <w:sz w:val="20"/>
          <w:szCs w:val="20"/>
          <w:lang w:val="ka-GE"/>
        </w:rPr>
        <w:t xml:space="preserve">  და ქვეყნების თანამშრომლობ</w:t>
      </w:r>
      <w:r w:rsidR="001C3D10">
        <w:rPr>
          <w:rFonts w:ascii="Sylfaen" w:hAnsi="Sylfaen"/>
          <w:sz w:val="20"/>
          <w:szCs w:val="20"/>
          <w:lang w:val="ka-GE"/>
        </w:rPr>
        <w:t>ი</w:t>
      </w:r>
      <w:r w:rsidR="00626534">
        <w:rPr>
          <w:rFonts w:ascii="Sylfaen" w:hAnsi="Sylfaen"/>
          <w:sz w:val="20"/>
          <w:szCs w:val="20"/>
          <w:lang w:val="ka-GE"/>
        </w:rPr>
        <w:t>ს</w:t>
      </w:r>
      <w:r w:rsidR="001C3D10">
        <w:rPr>
          <w:rFonts w:ascii="Sylfaen" w:hAnsi="Sylfaen"/>
          <w:sz w:val="20"/>
          <w:szCs w:val="20"/>
          <w:lang w:val="ka-GE"/>
        </w:rPr>
        <w:t xml:space="preserve"> გაუმჯობესებას</w:t>
      </w:r>
      <w:r w:rsidR="00626534">
        <w:rPr>
          <w:rFonts w:ascii="Sylfaen" w:hAnsi="Sylfaen"/>
          <w:sz w:val="20"/>
          <w:szCs w:val="20"/>
          <w:lang w:val="ka-GE"/>
        </w:rPr>
        <w:t>, რასაც ემატება საკვებსა და ენერგოპროდუქტებზე ფასების მკვეთრი ზრდა</w:t>
      </w:r>
      <w:r w:rsidR="001C3D10">
        <w:rPr>
          <w:rFonts w:ascii="Sylfaen" w:hAnsi="Sylfaen"/>
          <w:sz w:val="20"/>
          <w:szCs w:val="20"/>
          <w:lang w:val="ka-GE"/>
        </w:rPr>
        <w:t>.</w:t>
      </w:r>
      <w:r w:rsidR="00626534">
        <w:rPr>
          <w:rFonts w:ascii="Sylfaen" w:hAnsi="Sylfaen"/>
          <w:sz w:val="20"/>
          <w:szCs w:val="20"/>
          <w:lang w:val="ka-GE"/>
        </w:rPr>
        <w:t xml:space="preserve"> </w:t>
      </w:r>
      <w:r w:rsidR="001C3D10">
        <w:rPr>
          <w:rFonts w:ascii="Sylfaen" w:hAnsi="Sylfaen"/>
          <w:sz w:val="20"/>
          <w:szCs w:val="20"/>
          <w:lang w:val="ka-GE"/>
        </w:rPr>
        <w:t>აღნიშნულმა კი</w:t>
      </w:r>
      <w:r w:rsidR="00626534">
        <w:rPr>
          <w:rFonts w:ascii="Sylfaen" w:hAnsi="Sylfaen"/>
          <w:sz w:val="20"/>
          <w:szCs w:val="20"/>
          <w:lang w:val="ka-GE"/>
        </w:rPr>
        <w:t xml:space="preserve"> შესაძლოა გამოიწვიოს სოციალური პრობლემები მსოფლიოში. </w:t>
      </w:r>
      <w:r w:rsidR="00820C42">
        <w:rPr>
          <w:rFonts w:ascii="Sylfaen" w:hAnsi="Sylfaen"/>
          <w:sz w:val="20"/>
          <w:szCs w:val="20"/>
          <w:lang w:val="ka-GE"/>
        </w:rPr>
        <w:t xml:space="preserve">მსოფლიოში მოსალოდნელი რეცესიის რისკის რეალიზება დაკავშირებულია როგორც მოთხოვნის შემცირებასთან, ასევე - მიწოდების უარყოფით შოკთან, რაც იწვევს როგორც ფასების ზრდას, ასევე - ეკონომიკური აქტივობის შემცირებას. </w:t>
      </w:r>
      <w:r w:rsidR="00C25700">
        <w:rPr>
          <w:rFonts w:ascii="Sylfaen" w:hAnsi="Sylfaen"/>
          <w:sz w:val="20"/>
          <w:szCs w:val="20"/>
          <w:lang w:val="ka-GE"/>
        </w:rPr>
        <w:t xml:space="preserve">ამასთან, მოსალოდნელია ცენტრალური </w:t>
      </w:r>
      <w:r w:rsidR="00B22801">
        <w:rPr>
          <w:rFonts w:ascii="Sylfaen" w:hAnsi="Sylfaen"/>
          <w:sz w:val="20"/>
          <w:szCs w:val="20"/>
          <w:lang w:val="ka-GE"/>
        </w:rPr>
        <w:t xml:space="preserve">ბანკების მიერ საპროცენტო განაკვეთის ზრდა ინფლაციის შესაჩერებლად, რაც კიდევ უფრო შეაფერხებს ეკონომიკურ აქტივობას. </w:t>
      </w:r>
      <w:r w:rsidR="00626534">
        <w:rPr>
          <w:rFonts w:ascii="Sylfaen" w:hAnsi="Sylfaen"/>
          <w:sz w:val="20"/>
          <w:szCs w:val="20"/>
          <w:lang w:val="ka-GE"/>
        </w:rPr>
        <w:t xml:space="preserve">აღნიშნულიდან გამომდინარე, </w:t>
      </w:r>
      <w:r w:rsidR="001C3D10">
        <w:rPr>
          <w:rFonts w:ascii="Sylfaen" w:hAnsi="Sylfaen"/>
          <w:sz w:val="20"/>
          <w:szCs w:val="20"/>
          <w:lang w:val="ka-GE"/>
        </w:rPr>
        <w:t xml:space="preserve">2023 წელს </w:t>
      </w:r>
      <w:r w:rsidR="00626534">
        <w:rPr>
          <w:rFonts w:ascii="Sylfaen" w:hAnsi="Sylfaen"/>
          <w:sz w:val="20"/>
          <w:szCs w:val="20"/>
          <w:lang w:val="ka-GE"/>
        </w:rPr>
        <w:t xml:space="preserve">მოსალოდნელია </w:t>
      </w:r>
      <w:r w:rsidR="001C3D10">
        <w:rPr>
          <w:rFonts w:ascii="Sylfaen" w:hAnsi="Sylfaen"/>
          <w:sz w:val="20"/>
          <w:szCs w:val="20"/>
          <w:lang w:val="ka-GE"/>
        </w:rPr>
        <w:t>განვითარებულ ქვეყნებში ადგილი ჰქონდეს ეკონომიკური ზრდის მკვეთრ შემცირებას ან რიგ ქვეყნებში რეცესიას</w:t>
      </w:r>
      <w:r w:rsidR="005529F1">
        <w:rPr>
          <w:rFonts w:ascii="Sylfaen" w:hAnsi="Sylfaen"/>
          <w:sz w:val="20"/>
          <w:szCs w:val="20"/>
          <w:lang w:val="ka-GE"/>
        </w:rPr>
        <w:t xml:space="preserve">. </w:t>
      </w:r>
    </w:p>
    <w:p w:rsidR="009E41E8" w:rsidRDefault="009E41E8" w:rsidP="001C3D10">
      <w:pPr>
        <w:spacing w:before="240" w:line="276" w:lineRule="auto"/>
        <w:ind w:firstLine="360"/>
        <w:jc w:val="both"/>
        <w:rPr>
          <w:rFonts w:ascii="Sylfaen" w:hAnsi="Sylfaen"/>
          <w:sz w:val="20"/>
          <w:szCs w:val="20"/>
          <w:lang w:val="ka-GE"/>
        </w:rPr>
      </w:pPr>
      <w:r>
        <w:rPr>
          <w:rFonts w:ascii="Sylfaen" w:hAnsi="Sylfaen"/>
          <w:sz w:val="20"/>
          <w:szCs w:val="20"/>
          <w:lang w:val="ka-GE"/>
        </w:rPr>
        <w:t>ზემოთ ჩამოთვლილი საშუალოვადიანი პერიოდის ექვსი</w:t>
      </w:r>
      <w:r w:rsidR="00B575E6">
        <w:rPr>
          <w:rFonts w:ascii="Sylfaen" w:hAnsi="Sylfaen"/>
          <w:sz w:val="20"/>
          <w:szCs w:val="20"/>
          <w:lang w:val="ka-GE"/>
        </w:rPr>
        <w:t xml:space="preserve"> რისკი წარმოადგენს საბაზისო სცენარიდან  გაუთვალისწინებელ გადახრას.</w:t>
      </w:r>
      <w:r>
        <w:rPr>
          <w:rFonts w:ascii="Sylfaen" w:hAnsi="Sylfaen"/>
          <w:sz w:val="20"/>
          <w:szCs w:val="20"/>
          <w:lang w:val="ka-GE"/>
        </w:rPr>
        <w:t xml:space="preserve"> </w:t>
      </w:r>
      <w:r w:rsidR="00B575E6">
        <w:rPr>
          <w:rFonts w:ascii="Sylfaen" w:hAnsi="Sylfaen"/>
          <w:sz w:val="20"/>
          <w:szCs w:val="20"/>
          <w:lang w:val="ka-GE"/>
        </w:rPr>
        <w:t xml:space="preserve">ისინი </w:t>
      </w:r>
      <w:r>
        <w:rPr>
          <w:rFonts w:ascii="Sylfaen" w:hAnsi="Sylfaen"/>
          <w:sz w:val="20"/>
          <w:szCs w:val="20"/>
          <w:lang w:val="ka-GE"/>
        </w:rPr>
        <w:t xml:space="preserve">მოხდენისა და გავლენის </w:t>
      </w:r>
      <w:r w:rsidR="00B575E6">
        <w:rPr>
          <w:rFonts w:ascii="Sylfaen" w:hAnsi="Sylfaen"/>
          <w:sz w:val="20"/>
          <w:szCs w:val="20"/>
          <w:lang w:val="ka-GE"/>
        </w:rPr>
        <w:t xml:space="preserve">შედარებითი </w:t>
      </w:r>
      <w:r>
        <w:rPr>
          <w:rFonts w:ascii="Sylfaen" w:hAnsi="Sylfaen"/>
          <w:sz w:val="20"/>
          <w:szCs w:val="20"/>
          <w:lang w:val="ka-GE"/>
        </w:rPr>
        <w:t xml:space="preserve">ალბათობების მიხედვით შემდეგნაირად შეიძლება წარმოვაჩინოთ ე.წ </w:t>
      </w:r>
      <w:r>
        <w:rPr>
          <w:rFonts w:ascii="Sylfaen" w:hAnsi="Sylfaen"/>
          <w:sz w:val="20"/>
          <w:szCs w:val="20"/>
        </w:rPr>
        <w:t>Heat Map</w:t>
      </w:r>
      <w:r>
        <w:rPr>
          <w:rFonts w:ascii="Sylfaen" w:hAnsi="Sylfaen"/>
          <w:sz w:val="20"/>
          <w:szCs w:val="20"/>
          <w:lang w:val="ka-GE"/>
        </w:rPr>
        <w:t xml:space="preserve">-ის სახით: </w:t>
      </w:r>
    </w:p>
    <w:p w:rsidR="009E41E8" w:rsidRPr="009E41E8" w:rsidRDefault="00DF38EC" w:rsidP="00054312">
      <w:pPr>
        <w:spacing w:before="240" w:line="276" w:lineRule="auto"/>
        <w:ind w:firstLine="360"/>
        <w:jc w:val="both"/>
        <w:rPr>
          <w:rFonts w:ascii="Sylfaen" w:hAnsi="Sylfaen"/>
          <w:sz w:val="20"/>
          <w:szCs w:val="20"/>
          <w:lang w:val="ka-GE"/>
        </w:rPr>
      </w:pPr>
      <w:r w:rsidRPr="00D844E7">
        <w:rPr>
          <w:noProof/>
        </w:rPr>
        <w:drawing>
          <wp:anchor distT="0" distB="0" distL="114300" distR="114300" simplePos="0" relativeHeight="251696128" behindDoc="1" locked="0" layoutInCell="1" allowOverlap="1" wp14:anchorId="626D4C54" wp14:editId="16162635">
            <wp:simplePos x="0" y="0"/>
            <wp:positionH relativeFrom="column">
              <wp:posOffset>751370</wp:posOffset>
            </wp:positionH>
            <wp:positionV relativeFrom="paragraph">
              <wp:posOffset>55245</wp:posOffset>
            </wp:positionV>
            <wp:extent cx="4905375" cy="3162935"/>
            <wp:effectExtent l="0" t="0" r="9525" b="0"/>
            <wp:wrapTight wrapText="bothSides">
              <wp:wrapPolygon edited="0">
                <wp:start x="1762" y="0"/>
                <wp:lineTo x="1762" y="2082"/>
                <wp:lineTo x="0" y="2342"/>
                <wp:lineTo x="0" y="2602"/>
                <wp:lineTo x="1762" y="4163"/>
                <wp:lineTo x="1762" y="8326"/>
                <wp:lineTo x="923" y="8326"/>
                <wp:lineTo x="587" y="8977"/>
                <wp:lineTo x="587" y="12749"/>
                <wp:lineTo x="671" y="15221"/>
                <wp:lineTo x="1426" y="16652"/>
                <wp:lineTo x="1762" y="16652"/>
                <wp:lineTo x="1762" y="20815"/>
                <wp:lineTo x="0" y="21205"/>
                <wp:lineTo x="0" y="21466"/>
                <wp:lineTo x="21558" y="21466"/>
                <wp:lineTo x="21558" y="0"/>
                <wp:lineTo x="176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316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2801" w:rsidRDefault="00B22801" w:rsidP="005529F1">
      <w:pPr>
        <w:spacing w:before="240" w:line="276" w:lineRule="auto"/>
        <w:ind w:left="360" w:firstLine="360"/>
        <w:jc w:val="both"/>
        <w:rPr>
          <w:rFonts w:ascii="Sylfaen" w:hAnsi="Sylfaen"/>
          <w:sz w:val="20"/>
          <w:szCs w:val="20"/>
          <w:lang w:val="ka-GE"/>
        </w:rPr>
      </w:pPr>
    </w:p>
    <w:p w:rsidR="00FA23BD" w:rsidRDefault="00FA23BD" w:rsidP="005529F1">
      <w:pPr>
        <w:spacing w:before="240" w:line="276" w:lineRule="auto"/>
        <w:ind w:left="360" w:firstLine="360"/>
        <w:jc w:val="both"/>
        <w:rPr>
          <w:rFonts w:ascii="Sylfaen" w:hAnsi="Sylfaen"/>
          <w:sz w:val="20"/>
          <w:szCs w:val="20"/>
          <w:lang w:val="ka-GE"/>
        </w:rPr>
      </w:pPr>
    </w:p>
    <w:p w:rsidR="00FA23BD" w:rsidRDefault="00FA23BD" w:rsidP="005529F1">
      <w:pPr>
        <w:spacing w:before="240" w:line="276" w:lineRule="auto"/>
        <w:ind w:left="360" w:firstLine="360"/>
        <w:jc w:val="both"/>
        <w:rPr>
          <w:rFonts w:ascii="Sylfaen" w:hAnsi="Sylfaen"/>
          <w:sz w:val="20"/>
          <w:szCs w:val="20"/>
          <w:lang w:val="ka-GE"/>
        </w:rPr>
      </w:pPr>
    </w:p>
    <w:p w:rsidR="009E41E8" w:rsidRDefault="009E41E8" w:rsidP="005529F1">
      <w:pPr>
        <w:spacing w:before="240" w:line="276" w:lineRule="auto"/>
        <w:ind w:left="360" w:firstLine="360"/>
        <w:jc w:val="both"/>
        <w:rPr>
          <w:rFonts w:ascii="Sylfaen" w:hAnsi="Sylfaen"/>
          <w:sz w:val="20"/>
          <w:szCs w:val="20"/>
          <w:lang w:val="ka-GE"/>
        </w:rPr>
      </w:pPr>
    </w:p>
    <w:p w:rsidR="009E41E8" w:rsidRPr="00673EA7" w:rsidRDefault="009E41E8" w:rsidP="005529F1">
      <w:pPr>
        <w:spacing w:before="240" w:line="276" w:lineRule="auto"/>
        <w:ind w:left="360" w:firstLine="360"/>
        <w:jc w:val="both"/>
        <w:rPr>
          <w:rFonts w:ascii="Sylfaen" w:hAnsi="Sylfaen"/>
          <w:sz w:val="20"/>
          <w:szCs w:val="20"/>
          <w:lang w:val="ka-GE"/>
        </w:rPr>
      </w:pPr>
    </w:p>
    <w:p w:rsidR="00BD4148" w:rsidRDefault="00BD4148" w:rsidP="00544F05">
      <w:pPr>
        <w:tabs>
          <w:tab w:val="left" w:pos="900"/>
        </w:tabs>
        <w:spacing w:before="240" w:line="276" w:lineRule="auto"/>
        <w:ind w:firstLine="540"/>
        <w:jc w:val="both"/>
        <w:rPr>
          <w:rFonts w:ascii="Segoe UI" w:hAnsi="Segoe UI" w:cs="Segoe UI"/>
          <w:sz w:val="20"/>
          <w:szCs w:val="20"/>
        </w:rPr>
      </w:pPr>
    </w:p>
    <w:p w:rsidR="009E41E8" w:rsidRDefault="009E41E8" w:rsidP="00544F05">
      <w:pPr>
        <w:tabs>
          <w:tab w:val="left" w:pos="900"/>
        </w:tabs>
        <w:spacing w:before="240" w:line="276" w:lineRule="auto"/>
        <w:ind w:firstLine="540"/>
        <w:jc w:val="both"/>
        <w:rPr>
          <w:rFonts w:ascii="Segoe UI" w:hAnsi="Segoe UI" w:cs="Segoe UI"/>
          <w:sz w:val="20"/>
          <w:szCs w:val="20"/>
        </w:rPr>
      </w:pPr>
    </w:p>
    <w:p w:rsidR="009E41E8" w:rsidRDefault="009E41E8" w:rsidP="00544F05">
      <w:pPr>
        <w:tabs>
          <w:tab w:val="left" w:pos="900"/>
        </w:tabs>
        <w:spacing w:before="240" w:line="276" w:lineRule="auto"/>
        <w:ind w:firstLine="540"/>
        <w:jc w:val="both"/>
        <w:rPr>
          <w:rFonts w:ascii="Segoe UI" w:hAnsi="Segoe UI" w:cs="Segoe UI"/>
          <w:sz w:val="20"/>
          <w:szCs w:val="20"/>
        </w:rPr>
      </w:pPr>
    </w:p>
    <w:p w:rsidR="009E41E8" w:rsidRDefault="009E41E8" w:rsidP="00544F05">
      <w:pPr>
        <w:tabs>
          <w:tab w:val="left" w:pos="900"/>
        </w:tabs>
        <w:spacing w:before="240" w:line="276" w:lineRule="auto"/>
        <w:ind w:firstLine="540"/>
        <w:jc w:val="both"/>
        <w:rPr>
          <w:rFonts w:ascii="Segoe UI" w:hAnsi="Segoe UI" w:cs="Segoe UI"/>
          <w:sz w:val="20"/>
          <w:szCs w:val="20"/>
        </w:rPr>
      </w:pPr>
    </w:p>
    <w:p w:rsidR="009E41E8" w:rsidRPr="00DA1AF5" w:rsidRDefault="001A2B35" w:rsidP="00544F05">
      <w:pPr>
        <w:tabs>
          <w:tab w:val="left" w:pos="900"/>
        </w:tabs>
        <w:spacing w:before="240" w:line="276" w:lineRule="auto"/>
        <w:ind w:firstLine="540"/>
        <w:jc w:val="both"/>
        <w:rPr>
          <w:rFonts w:ascii="Sylfaen" w:hAnsi="Sylfaen"/>
          <w:sz w:val="20"/>
          <w:szCs w:val="20"/>
          <w:lang w:val="ka-GE"/>
        </w:rPr>
      </w:pPr>
      <w:r w:rsidRPr="00DA1AF5">
        <w:rPr>
          <w:rFonts w:ascii="Sylfaen" w:hAnsi="Sylfaen"/>
          <w:sz w:val="20"/>
          <w:szCs w:val="20"/>
          <w:lang w:val="ka-GE"/>
        </w:rPr>
        <w:t>ზემოთ ჩ</w:t>
      </w:r>
      <w:r w:rsidR="00054312" w:rsidRPr="00DA1AF5">
        <w:rPr>
          <w:rFonts w:ascii="Sylfaen" w:hAnsi="Sylfaen"/>
          <w:sz w:val="20"/>
          <w:szCs w:val="20"/>
          <w:lang w:val="ka-GE"/>
        </w:rPr>
        <w:t>ა</w:t>
      </w:r>
      <w:r w:rsidRPr="00DA1AF5">
        <w:rPr>
          <w:rFonts w:ascii="Sylfaen" w:hAnsi="Sylfaen"/>
          <w:sz w:val="20"/>
          <w:szCs w:val="20"/>
          <w:lang w:val="ka-GE"/>
        </w:rPr>
        <w:t xml:space="preserve">მოთვლილი რისკებიდან </w:t>
      </w:r>
      <w:r w:rsidR="009710A3" w:rsidRPr="00DA1AF5">
        <w:rPr>
          <w:rFonts w:ascii="Sylfaen" w:hAnsi="Sylfaen"/>
          <w:sz w:val="20"/>
          <w:szCs w:val="20"/>
          <w:lang w:val="ka-GE"/>
        </w:rPr>
        <w:t xml:space="preserve">მოსალოდნელია, </w:t>
      </w:r>
      <w:r w:rsidRPr="00DA1AF5">
        <w:rPr>
          <w:rFonts w:ascii="Sylfaen" w:hAnsi="Sylfaen"/>
          <w:sz w:val="20"/>
          <w:szCs w:val="20"/>
          <w:lang w:val="ka-GE"/>
        </w:rPr>
        <w:t xml:space="preserve">რომ ყველაზე მაღალი გავლენა აქვს პანდემიის გამწვავებას (თუმცა მისი მოხდენის ალბათობა დაბალია), მსოფლიოში მოსალოდნელ რეცესიასა და რეგიონულ რისკებს (მოხდენის საშუალო ალბათობით). </w:t>
      </w:r>
    </w:p>
    <w:p w:rsidR="009E41E8" w:rsidRDefault="009E41E8" w:rsidP="00544F05">
      <w:pPr>
        <w:tabs>
          <w:tab w:val="left" w:pos="900"/>
        </w:tabs>
        <w:spacing w:before="240" w:line="276" w:lineRule="auto"/>
        <w:ind w:firstLine="540"/>
        <w:jc w:val="both"/>
        <w:rPr>
          <w:rFonts w:ascii="Segoe UI" w:hAnsi="Segoe UI" w:cs="Segoe UI"/>
          <w:sz w:val="20"/>
          <w:szCs w:val="20"/>
        </w:rPr>
      </w:pPr>
    </w:p>
    <w:p w:rsidR="00194344" w:rsidRDefault="00194344" w:rsidP="00544F05">
      <w:pPr>
        <w:pStyle w:val="Heading1"/>
        <w:numPr>
          <w:ilvl w:val="0"/>
          <w:numId w:val="4"/>
        </w:numPr>
        <w:spacing w:before="240" w:line="276" w:lineRule="auto"/>
        <w:ind w:left="360" w:hanging="360"/>
        <w:rPr>
          <w:b/>
          <w:bCs w:val="0"/>
        </w:rPr>
      </w:pPr>
      <w:r w:rsidRPr="00B87A65">
        <w:rPr>
          <w:b/>
          <w:bCs w:val="0"/>
        </w:rPr>
        <w:t>სცენარები საშუალოვადიან პერიოდში</w:t>
      </w:r>
    </w:p>
    <w:p w:rsidR="00AF4337" w:rsidRPr="00D920D4" w:rsidRDefault="00AF4337" w:rsidP="00544F05">
      <w:pPr>
        <w:spacing w:before="240" w:line="276" w:lineRule="auto"/>
        <w:ind w:firstLine="540"/>
        <w:jc w:val="both"/>
        <w:rPr>
          <w:rFonts w:ascii="Sylfaen" w:hAnsi="Sylfaen" w:cs="Segoe UI"/>
          <w:sz w:val="20"/>
          <w:szCs w:val="20"/>
        </w:rPr>
      </w:pPr>
      <w:r>
        <w:rPr>
          <w:rFonts w:ascii="Sylfaen" w:hAnsi="Sylfaen" w:cs="Segoe UI"/>
          <w:sz w:val="20"/>
          <w:szCs w:val="20"/>
          <w:lang w:val="ka-GE"/>
        </w:rPr>
        <w:t xml:space="preserve">წარმოდგენილია </w:t>
      </w:r>
      <w:r w:rsidRPr="00D920D4">
        <w:rPr>
          <w:rFonts w:ascii="Sylfaen" w:hAnsi="Sylfaen" w:cs="Segoe UI"/>
          <w:sz w:val="20"/>
          <w:szCs w:val="20"/>
        </w:rPr>
        <w:t>ეკონომიკური პროგნოზების</w:t>
      </w:r>
      <w:r w:rsidRPr="00D920D4">
        <w:rPr>
          <w:rFonts w:ascii="Sylfaen" w:hAnsi="Sylfaen" w:cs="Segoe UI"/>
          <w:sz w:val="20"/>
          <w:szCs w:val="20"/>
          <w:lang w:val="ka-GE"/>
        </w:rPr>
        <w:t xml:space="preserve"> </w:t>
      </w:r>
      <w:r w:rsidRPr="00D920D4">
        <w:rPr>
          <w:rFonts w:ascii="Sylfaen" w:hAnsi="Sylfaen" w:cs="Segoe UI"/>
          <w:sz w:val="20"/>
          <w:szCs w:val="20"/>
        </w:rPr>
        <w:t>სამი სცენარი -</w:t>
      </w:r>
      <w:r w:rsidRPr="00D920D4">
        <w:rPr>
          <w:rFonts w:ascii="Sylfaen" w:hAnsi="Sylfaen" w:cs="Segoe UI"/>
          <w:sz w:val="20"/>
          <w:szCs w:val="20"/>
          <w:lang w:val="ka-GE"/>
        </w:rPr>
        <w:t xml:space="preserve"> </w:t>
      </w:r>
      <w:r w:rsidRPr="00D920D4">
        <w:rPr>
          <w:rFonts w:ascii="Sylfaen" w:hAnsi="Sylfaen" w:cs="Segoe UI"/>
          <w:sz w:val="20"/>
          <w:szCs w:val="20"/>
        </w:rPr>
        <w:t xml:space="preserve">საბაზისო, პოზიტიური და </w:t>
      </w:r>
      <w:r w:rsidRPr="00D920D4">
        <w:rPr>
          <w:rFonts w:ascii="Sylfaen" w:hAnsi="Sylfaen" w:cs="Segoe UI"/>
          <w:sz w:val="20"/>
          <w:szCs w:val="20"/>
          <w:lang w:val="ka-GE"/>
        </w:rPr>
        <w:t>ნეგატიური</w:t>
      </w:r>
      <w:r w:rsidRPr="00D920D4">
        <w:rPr>
          <w:rFonts w:ascii="Sylfaen" w:hAnsi="Sylfaen" w:cs="Segoe UI"/>
          <w:sz w:val="20"/>
          <w:szCs w:val="20"/>
        </w:rPr>
        <w:t>.</w:t>
      </w:r>
      <w:r>
        <w:rPr>
          <w:rFonts w:ascii="Sylfaen" w:hAnsi="Sylfaen" w:cs="Segoe UI"/>
          <w:sz w:val="20"/>
          <w:szCs w:val="20"/>
          <w:lang w:val="ka-GE"/>
        </w:rPr>
        <w:t xml:space="preserve"> აღნიშნული </w:t>
      </w:r>
      <w:r w:rsidRPr="00D920D4">
        <w:rPr>
          <w:rFonts w:ascii="Sylfaen" w:hAnsi="Sylfaen" w:cs="Segoe UI"/>
          <w:sz w:val="20"/>
          <w:szCs w:val="20"/>
        </w:rPr>
        <w:t>სცენარები ეფუძნება მე</w:t>
      </w:r>
      <w:r>
        <w:rPr>
          <w:rFonts w:ascii="Sylfaen" w:hAnsi="Sylfaen" w:cs="Segoe UI"/>
          <w:sz w:val="20"/>
          <w:szCs w:val="20"/>
          <w:lang w:val="ka-GE"/>
        </w:rPr>
        <w:t>ოთხე</w:t>
      </w:r>
      <w:r w:rsidRPr="00D920D4">
        <w:rPr>
          <w:rFonts w:ascii="Sylfaen" w:hAnsi="Sylfaen" w:cs="Segoe UI"/>
          <w:sz w:val="20"/>
          <w:szCs w:val="20"/>
        </w:rPr>
        <w:t xml:space="preserve"> თავში იდენტიფიცირებული რისკების გავლენის ხარისხს და მათი მატერიალიზაციის განსხვავებულ ალბათობებს.</w:t>
      </w:r>
    </w:p>
    <w:p w:rsidR="00AF4337" w:rsidRDefault="00AF4337" w:rsidP="00544F05">
      <w:pPr>
        <w:spacing w:before="240" w:line="276" w:lineRule="auto"/>
        <w:ind w:firstLine="540"/>
        <w:jc w:val="both"/>
        <w:rPr>
          <w:rFonts w:ascii="Sylfaen" w:hAnsi="Sylfaen" w:cs="Segoe UI"/>
          <w:sz w:val="20"/>
          <w:szCs w:val="20"/>
          <w:lang w:val="ka-GE"/>
        </w:rPr>
      </w:pPr>
      <w:r w:rsidRPr="00D920D4">
        <w:rPr>
          <w:rFonts w:ascii="Sylfaen" w:hAnsi="Sylfaen" w:cs="Segoe UI"/>
          <w:sz w:val="20"/>
          <w:szCs w:val="20"/>
        </w:rPr>
        <w:t>პროგნოზის სცენარების შემუშავებისას დაიანგარიშება თითოეულ სცენარში რისკების მატერიალიზაციის გავლენა ეგზოგენურ ცვლადებ</w:t>
      </w:r>
      <w:r w:rsidRPr="00940CE3">
        <w:rPr>
          <w:rFonts w:ascii="Sylfaen" w:eastAsiaTheme="minorEastAsia" w:hAnsi="Sylfaen" w:cs="Segoe UI"/>
          <w:sz w:val="20"/>
          <w:szCs w:val="20"/>
        </w:rPr>
        <w:t>ზ</w:t>
      </w:r>
      <w:r w:rsidRPr="00940CE3">
        <w:rPr>
          <w:rFonts w:ascii="Sylfaen" w:eastAsiaTheme="minorEastAsia" w:hAnsi="Sylfaen" w:cs="Segoe UI"/>
          <w:sz w:val="20"/>
          <w:szCs w:val="20"/>
          <w:lang w:val="ka-GE"/>
        </w:rPr>
        <w:t>ე</w:t>
      </w:r>
      <w:r w:rsidRPr="00D920D4">
        <w:rPr>
          <w:rFonts w:ascii="Sylfaen" w:hAnsi="Sylfaen" w:cs="Segoe UI"/>
          <w:sz w:val="20"/>
          <w:szCs w:val="20"/>
        </w:rPr>
        <w:t>, ხოლო შემდეგ ეგზოგენური ცვლადების საფუძველზე კეთდება პროგნოზები</w:t>
      </w:r>
      <w:r>
        <w:rPr>
          <w:rFonts w:ascii="Sylfaen" w:hAnsi="Sylfaen" w:cs="Segoe UI"/>
          <w:sz w:val="20"/>
          <w:szCs w:val="20"/>
          <w:lang w:val="ka-GE"/>
        </w:rPr>
        <w:t>.</w:t>
      </w:r>
      <w:r w:rsidRPr="00D920D4">
        <w:rPr>
          <w:rFonts w:ascii="Sylfaen" w:hAnsi="Sylfaen" w:cs="Segoe UI"/>
          <w:sz w:val="20"/>
          <w:szCs w:val="20"/>
        </w:rPr>
        <w:t xml:space="preserve"> </w:t>
      </w:r>
      <w:r>
        <w:rPr>
          <w:rFonts w:ascii="Sylfaen" w:hAnsi="Sylfaen" w:cs="Segoe UI"/>
          <w:sz w:val="20"/>
          <w:szCs w:val="20"/>
          <w:lang w:val="ka-GE"/>
        </w:rPr>
        <w:t xml:space="preserve">ეგზოგენურია საგარეო სექტორის მონაცემები და აგრეთვე მაკროეკონომიკური პოლიტიკით განსაზღვრული ცვლადები, აღნიშნული ეგზოგენური ცვლადების შესახებ კი კეთდება დაშვებები, რის შედეგადაც ხდება პროგნოზების შემუშავება, დაშვებების გავლენის გათვალისწინებით.  </w:t>
      </w:r>
    </w:p>
    <w:p w:rsidR="00AF4337" w:rsidRPr="00C14283" w:rsidRDefault="00AF4337" w:rsidP="00544F05">
      <w:pPr>
        <w:spacing w:before="240" w:line="276" w:lineRule="auto"/>
        <w:ind w:firstLine="360"/>
        <w:jc w:val="both"/>
        <w:rPr>
          <w:rFonts w:ascii="Sylfaen" w:hAnsi="Sylfaen" w:cs="Segoe UI"/>
          <w:sz w:val="20"/>
          <w:szCs w:val="20"/>
          <w:lang w:val="ka-GE"/>
        </w:rPr>
      </w:pPr>
      <w:r>
        <w:rPr>
          <w:rFonts w:ascii="Sylfaen" w:hAnsi="Sylfaen" w:cs="Segoe UI"/>
          <w:sz w:val="20"/>
          <w:szCs w:val="20"/>
          <w:lang w:val="ka-GE"/>
        </w:rPr>
        <w:t xml:space="preserve">აღსანიშნავია, რომ საბაზისო სცენარი გულისხმობს რისკების ზომიერად მატერიალიზაციას, ოპტიმისტურ სცენარში აღნიშნული რისკების მატერიალიზაციას არ ველით, ხოლო პესიმისტურ სცენარში გათვალისწინებულია რისკების მატერიალიზაცია მაღალი ალბათობით. </w:t>
      </w:r>
    </w:p>
    <w:p w:rsidR="00AF4337" w:rsidRPr="00D300AA" w:rsidRDefault="00AF4337" w:rsidP="00544F05">
      <w:pPr>
        <w:pStyle w:val="Heading2"/>
        <w:spacing w:before="240" w:line="276" w:lineRule="auto"/>
        <w:rPr>
          <w:lang w:val="af-ZA"/>
        </w:rPr>
      </w:pPr>
      <w:r>
        <w:t xml:space="preserve"> საბაზისო სცენარი</w:t>
      </w:r>
    </w:p>
    <w:p w:rsidR="000159BC" w:rsidRDefault="000159BC" w:rsidP="000159BC">
      <w:pPr>
        <w:spacing w:before="240" w:line="276" w:lineRule="auto"/>
        <w:ind w:firstLine="540"/>
        <w:jc w:val="both"/>
        <w:rPr>
          <w:rFonts w:ascii="Sylfaen" w:hAnsi="Sylfaen" w:cs="Segoe UI"/>
          <w:sz w:val="20"/>
          <w:szCs w:val="20"/>
          <w:lang w:val="ka-GE"/>
        </w:rPr>
      </w:pPr>
      <w:r w:rsidRPr="00194344">
        <w:rPr>
          <w:rFonts w:ascii="Sylfaen" w:hAnsi="Sylfaen" w:cs="Segoe UI"/>
          <w:sz w:val="20"/>
          <w:szCs w:val="20"/>
        </w:rPr>
        <w:t>საბაზისო სცენ</w:t>
      </w:r>
      <w:r>
        <w:rPr>
          <w:rFonts w:ascii="Sylfaen" w:hAnsi="Sylfaen" w:cs="Segoe UI"/>
          <w:sz w:val="20"/>
          <w:szCs w:val="20"/>
          <w:lang w:val="ka-GE"/>
        </w:rPr>
        <w:t>ა</w:t>
      </w:r>
      <w:r w:rsidRPr="00194344">
        <w:rPr>
          <w:rFonts w:ascii="Sylfaen" w:hAnsi="Sylfaen" w:cs="Segoe UI"/>
          <w:sz w:val="20"/>
          <w:szCs w:val="20"/>
        </w:rPr>
        <w:t>რში 202</w:t>
      </w:r>
      <w:r>
        <w:rPr>
          <w:rFonts w:ascii="Sylfaen" w:hAnsi="Sylfaen" w:cs="Segoe UI"/>
          <w:sz w:val="20"/>
          <w:szCs w:val="20"/>
          <w:lang w:val="ka-GE"/>
        </w:rPr>
        <w:t>2</w:t>
      </w:r>
      <w:r w:rsidRPr="00194344">
        <w:rPr>
          <w:rFonts w:ascii="Sylfaen" w:hAnsi="Sylfaen" w:cs="Segoe UI"/>
          <w:sz w:val="20"/>
          <w:szCs w:val="20"/>
        </w:rPr>
        <w:t xml:space="preserve"> წლის ეკონომიკური ზრდა </w:t>
      </w:r>
      <w:r w:rsidR="00965B90">
        <w:rPr>
          <w:rFonts w:ascii="Sylfaen" w:hAnsi="Sylfaen" w:cs="Segoe UI"/>
          <w:sz w:val="20"/>
          <w:szCs w:val="20"/>
          <w:lang w:val="ka-GE"/>
        </w:rPr>
        <w:t>10.0</w:t>
      </w:r>
      <w:r>
        <w:rPr>
          <w:rFonts w:ascii="Sylfaen" w:hAnsi="Sylfaen" w:cs="Segoe UI"/>
          <w:sz w:val="20"/>
          <w:szCs w:val="20"/>
          <w:lang w:val="ka-GE"/>
        </w:rPr>
        <w:t>%-</w:t>
      </w:r>
      <w:r w:rsidRPr="00194344">
        <w:rPr>
          <w:rFonts w:ascii="Sylfaen" w:hAnsi="Sylfaen" w:cs="Segoe UI"/>
          <w:sz w:val="20"/>
          <w:szCs w:val="20"/>
        </w:rPr>
        <w:t>ი</w:t>
      </w:r>
      <w:r w:rsidR="0089596A">
        <w:rPr>
          <w:rFonts w:ascii="Sylfaen" w:hAnsi="Sylfaen" w:cs="Segoe UI"/>
          <w:sz w:val="20"/>
          <w:szCs w:val="20"/>
          <w:lang w:val="ka-GE"/>
        </w:rPr>
        <w:t>ა</w:t>
      </w:r>
      <w:r w:rsidRPr="00194344">
        <w:rPr>
          <w:rFonts w:ascii="Sylfaen" w:hAnsi="Sylfaen" w:cs="Segoe UI"/>
          <w:sz w:val="20"/>
          <w:szCs w:val="20"/>
        </w:rPr>
        <w:t xml:space="preserve"> მოსალოდნელი. 202</w:t>
      </w:r>
      <w:r>
        <w:rPr>
          <w:rFonts w:ascii="Sylfaen" w:hAnsi="Sylfaen" w:cs="Segoe UI"/>
          <w:sz w:val="20"/>
          <w:szCs w:val="20"/>
          <w:lang w:val="ka-GE"/>
        </w:rPr>
        <w:t>3</w:t>
      </w:r>
      <w:r w:rsidRPr="00194344">
        <w:rPr>
          <w:rFonts w:ascii="Sylfaen" w:hAnsi="Sylfaen" w:cs="Segoe UI"/>
          <w:sz w:val="20"/>
          <w:szCs w:val="20"/>
        </w:rPr>
        <w:t xml:space="preserve"> წლიდან ეკონომიკა გააგძელებს საშუალოდ </w:t>
      </w:r>
      <w:r w:rsidR="00151CD7">
        <w:rPr>
          <w:rFonts w:ascii="Sylfaen" w:hAnsi="Sylfaen" w:cs="Segoe UI"/>
          <w:sz w:val="20"/>
          <w:szCs w:val="20"/>
        </w:rPr>
        <w:t>5.1</w:t>
      </w:r>
      <w:r>
        <w:rPr>
          <w:rFonts w:ascii="Sylfaen" w:hAnsi="Sylfaen" w:cs="Segoe UI"/>
          <w:sz w:val="20"/>
          <w:szCs w:val="20"/>
          <w:lang w:val="ka-GE"/>
        </w:rPr>
        <w:t>%-</w:t>
      </w:r>
      <w:r w:rsidRPr="00194344">
        <w:rPr>
          <w:rFonts w:ascii="Sylfaen" w:hAnsi="Sylfaen" w:cs="Segoe UI"/>
          <w:sz w:val="20"/>
          <w:szCs w:val="20"/>
        </w:rPr>
        <w:t>იან ზრდას</w:t>
      </w:r>
      <w:r>
        <w:rPr>
          <w:rFonts w:ascii="Sylfaen" w:hAnsi="Sylfaen" w:cs="Segoe UI"/>
          <w:sz w:val="20"/>
          <w:szCs w:val="20"/>
          <w:lang w:val="ka-GE"/>
        </w:rPr>
        <w:t>, 2023-2026 წლებში</w:t>
      </w:r>
      <w:r w:rsidRPr="00194344">
        <w:rPr>
          <w:rFonts w:ascii="Sylfaen" w:hAnsi="Sylfaen" w:cs="Segoe UI"/>
          <w:sz w:val="20"/>
          <w:szCs w:val="20"/>
        </w:rPr>
        <w:t>. ამ სცენარით</w:t>
      </w:r>
      <w:r>
        <w:rPr>
          <w:rFonts w:ascii="Sylfaen" w:hAnsi="Sylfaen" w:cs="Segoe UI"/>
          <w:sz w:val="20"/>
          <w:szCs w:val="20"/>
          <w:lang w:val="ka-GE"/>
        </w:rPr>
        <w:t>,</w:t>
      </w:r>
      <w:r w:rsidRPr="00194344">
        <w:rPr>
          <w:rFonts w:ascii="Sylfaen" w:hAnsi="Sylfaen" w:cs="Segoe UI"/>
          <w:sz w:val="20"/>
          <w:szCs w:val="20"/>
        </w:rPr>
        <w:t xml:space="preserve"> 202</w:t>
      </w:r>
      <w:r>
        <w:rPr>
          <w:rFonts w:ascii="Sylfaen" w:hAnsi="Sylfaen" w:cs="Segoe UI"/>
          <w:sz w:val="20"/>
          <w:szCs w:val="20"/>
          <w:lang w:val="ka-GE"/>
        </w:rPr>
        <w:t>6</w:t>
      </w:r>
      <w:r w:rsidRPr="00194344">
        <w:rPr>
          <w:rFonts w:ascii="Sylfaen" w:hAnsi="Sylfaen" w:cs="Segoe UI"/>
          <w:sz w:val="20"/>
          <w:szCs w:val="20"/>
        </w:rPr>
        <w:t xml:space="preserve"> წლისათვის ნულოვან სცენართან (პანდემიის არარსებობის შემთხვევაში) შედარებით </w:t>
      </w:r>
      <w:r>
        <w:rPr>
          <w:rFonts w:ascii="Sylfaen" w:hAnsi="Sylfaen" w:cs="Segoe UI"/>
          <w:sz w:val="20"/>
          <w:szCs w:val="20"/>
          <w:lang w:val="ka-GE"/>
        </w:rPr>
        <w:t xml:space="preserve">გადაჭარბება </w:t>
      </w:r>
      <w:r w:rsidRPr="00194344">
        <w:rPr>
          <w:rFonts w:ascii="Sylfaen" w:hAnsi="Sylfaen" w:cs="Segoe UI"/>
          <w:sz w:val="20"/>
          <w:szCs w:val="20"/>
        </w:rPr>
        <w:t xml:space="preserve">იქნება </w:t>
      </w:r>
      <w:r w:rsidR="00151CD7">
        <w:rPr>
          <w:rFonts w:ascii="Sylfaen" w:hAnsi="Sylfaen" w:cs="Segoe UI"/>
          <w:sz w:val="20"/>
          <w:szCs w:val="20"/>
        </w:rPr>
        <w:t>1.6</w:t>
      </w:r>
      <w:r>
        <w:rPr>
          <w:rFonts w:ascii="Sylfaen" w:hAnsi="Sylfaen" w:cs="Segoe UI"/>
          <w:sz w:val="20"/>
          <w:szCs w:val="20"/>
          <w:lang w:val="ka-GE"/>
        </w:rPr>
        <w:t>%</w:t>
      </w:r>
      <w:r w:rsidRPr="00194344">
        <w:rPr>
          <w:rFonts w:ascii="Sylfaen" w:hAnsi="Sylfaen" w:cs="Segoe UI"/>
          <w:sz w:val="20"/>
          <w:szCs w:val="20"/>
        </w:rPr>
        <w:t xml:space="preserve">. ეს ნიშნავს, რომ ეკონომიკა შეძლებს 2020 წლის დანაკარგის </w:t>
      </w:r>
      <w:r w:rsidR="00151CD7">
        <w:rPr>
          <w:rFonts w:ascii="Sylfaen" w:hAnsi="Sylfaen" w:cs="Segoe UI"/>
          <w:sz w:val="20"/>
          <w:szCs w:val="20"/>
        </w:rPr>
        <w:t>101.6</w:t>
      </w:r>
      <w:r>
        <w:rPr>
          <w:rFonts w:ascii="Sylfaen" w:hAnsi="Sylfaen" w:cs="Segoe UI"/>
          <w:sz w:val="20"/>
          <w:szCs w:val="20"/>
          <w:lang w:val="ka-GE"/>
        </w:rPr>
        <w:t>%-</w:t>
      </w:r>
      <w:r w:rsidRPr="00912D9E">
        <w:rPr>
          <w:rFonts w:ascii="Sylfaen" w:hAnsi="Sylfaen" w:cs="Segoe UI"/>
          <w:sz w:val="20"/>
          <w:szCs w:val="20"/>
          <w:lang w:val="ka-GE"/>
        </w:rPr>
        <w:t xml:space="preserve">ის </w:t>
      </w:r>
      <w:r w:rsidRPr="00912D9E">
        <w:rPr>
          <w:rFonts w:ascii="Sylfaen" w:hAnsi="Sylfaen" w:cs="Segoe UI"/>
          <w:sz w:val="20"/>
          <w:szCs w:val="20"/>
        </w:rPr>
        <w:t>აღდგენას.</w:t>
      </w:r>
      <w:r w:rsidRPr="00912D9E">
        <w:rPr>
          <w:rFonts w:ascii="Sylfaen" w:hAnsi="Sylfaen" w:cs="Segoe UI"/>
          <w:sz w:val="20"/>
          <w:szCs w:val="20"/>
          <w:lang w:val="ka-GE"/>
        </w:rPr>
        <w:t xml:space="preserve"> </w:t>
      </w:r>
      <w:r w:rsidRPr="00912D9E">
        <w:rPr>
          <w:rFonts w:ascii="Sylfaen" w:hAnsi="Sylfaen" w:cs="Segoe UI"/>
          <w:sz w:val="20"/>
          <w:szCs w:val="20"/>
        </w:rPr>
        <w:t>ჯამურად დანაკარგის მოცულობა 2020-202</w:t>
      </w:r>
      <w:r w:rsidRPr="00912D9E">
        <w:rPr>
          <w:rFonts w:ascii="Sylfaen" w:hAnsi="Sylfaen" w:cs="Segoe UI"/>
          <w:sz w:val="20"/>
          <w:szCs w:val="20"/>
          <w:lang w:val="ka-GE"/>
        </w:rPr>
        <w:t>6</w:t>
      </w:r>
      <w:r w:rsidRPr="00912D9E">
        <w:rPr>
          <w:rFonts w:ascii="Sylfaen" w:hAnsi="Sylfaen" w:cs="Segoe UI"/>
          <w:sz w:val="20"/>
          <w:szCs w:val="20"/>
        </w:rPr>
        <w:t xml:space="preserve"> წლებში შეადგენს აღნიშნული პერიოდის</w:t>
      </w:r>
      <w:r w:rsidRPr="00194344">
        <w:rPr>
          <w:rFonts w:ascii="Sylfaen" w:hAnsi="Sylfaen" w:cs="Segoe UI"/>
          <w:sz w:val="20"/>
          <w:szCs w:val="20"/>
        </w:rPr>
        <w:t xml:space="preserve"> საშუალო მშპ-ს </w:t>
      </w:r>
      <w:r>
        <w:rPr>
          <w:rFonts w:ascii="Sylfaen" w:hAnsi="Sylfaen" w:cs="Segoe UI"/>
          <w:sz w:val="20"/>
          <w:szCs w:val="20"/>
          <w:lang w:val="ka-GE"/>
        </w:rPr>
        <w:t xml:space="preserve">დაახლოებით </w:t>
      </w:r>
      <w:r w:rsidR="00151CD7">
        <w:rPr>
          <w:rFonts w:ascii="Sylfaen" w:hAnsi="Sylfaen" w:cs="Segoe UI"/>
          <w:sz w:val="20"/>
          <w:szCs w:val="20"/>
        </w:rPr>
        <w:t>1.7</w:t>
      </w:r>
      <w:r>
        <w:rPr>
          <w:rFonts w:ascii="Sylfaen" w:hAnsi="Sylfaen" w:cs="Segoe UI"/>
          <w:sz w:val="20"/>
          <w:szCs w:val="20"/>
          <w:lang w:val="ka-GE"/>
        </w:rPr>
        <w:t>%-</w:t>
      </w:r>
      <w:r w:rsidRPr="00194344">
        <w:rPr>
          <w:rFonts w:ascii="Sylfaen" w:hAnsi="Sylfaen" w:cs="Segoe UI"/>
          <w:sz w:val="20"/>
          <w:szCs w:val="20"/>
        </w:rPr>
        <w:t>ს.</w:t>
      </w:r>
      <w:r>
        <w:rPr>
          <w:rFonts w:ascii="Sylfaen" w:hAnsi="Sylfaen" w:cs="Segoe UI"/>
          <w:sz w:val="20"/>
          <w:szCs w:val="20"/>
          <w:lang w:val="ka-GE"/>
        </w:rPr>
        <w:t xml:space="preserve"> </w:t>
      </w:r>
    </w:p>
    <w:p w:rsidR="000159BC" w:rsidRPr="00BC5CCD" w:rsidRDefault="000159BC" w:rsidP="000159BC">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რაც შეეხება ინფლაციას, </w:t>
      </w:r>
      <w:r w:rsidR="0089596A">
        <w:rPr>
          <w:rFonts w:ascii="Sylfaen" w:hAnsi="Sylfaen" w:cs="Segoe UI"/>
          <w:sz w:val="20"/>
          <w:szCs w:val="20"/>
          <w:lang w:val="ka-GE"/>
        </w:rPr>
        <w:t xml:space="preserve">იგი </w:t>
      </w:r>
      <w:r w:rsidRPr="00194344">
        <w:rPr>
          <w:rFonts w:ascii="Sylfaen" w:hAnsi="Sylfaen" w:cs="Segoe UI"/>
          <w:sz w:val="20"/>
          <w:szCs w:val="20"/>
        </w:rPr>
        <w:t>202</w:t>
      </w:r>
      <w:r>
        <w:rPr>
          <w:rFonts w:ascii="Sylfaen" w:hAnsi="Sylfaen" w:cs="Segoe UI"/>
          <w:sz w:val="20"/>
          <w:szCs w:val="20"/>
          <w:lang w:val="ka-GE"/>
        </w:rPr>
        <w:t>2</w:t>
      </w:r>
      <w:r w:rsidRPr="00194344">
        <w:rPr>
          <w:rFonts w:ascii="Sylfaen" w:hAnsi="Sylfaen" w:cs="Segoe UI"/>
          <w:sz w:val="20"/>
          <w:szCs w:val="20"/>
        </w:rPr>
        <w:t xml:space="preserve"> წელს  </w:t>
      </w:r>
      <w:r w:rsidR="00FC675B">
        <w:rPr>
          <w:rFonts w:ascii="Sylfaen" w:hAnsi="Sylfaen" w:cs="Segoe UI"/>
          <w:sz w:val="20"/>
          <w:szCs w:val="20"/>
        </w:rPr>
        <w:t>11.9</w:t>
      </w:r>
      <w:r>
        <w:rPr>
          <w:rFonts w:ascii="Sylfaen" w:hAnsi="Sylfaen" w:cs="Segoe UI"/>
          <w:sz w:val="20"/>
          <w:szCs w:val="20"/>
          <w:lang w:val="ka-GE"/>
        </w:rPr>
        <w:t>%-ი</w:t>
      </w:r>
      <w:r w:rsidRPr="00194344">
        <w:rPr>
          <w:rFonts w:ascii="Sylfaen" w:hAnsi="Sylfaen" w:cs="Segoe UI"/>
          <w:sz w:val="20"/>
          <w:szCs w:val="20"/>
        </w:rPr>
        <w:t xml:space="preserve">ს </w:t>
      </w:r>
      <w:r>
        <w:rPr>
          <w:rFonts w:ascii="Sylfaen" w:hAnsi="Sylfaen" w:cs="Segoe UI"/>
          <w:sz w:val="20"/>
          <w:szCs w:val="20"/>
          <w:lang w:val="ka-GE"/>
        </w:rPr>
        <w:t>დონეზეა მოსალოდნელი</w:t>
      </w:r>
      <w:r w:rsidRPr="00194344">
        <w:rPr>
          <w:rFonts w:ascii="Sylfaen" w:hAnsi="Sylfaen" w:cs="Segoe UI"/>
          <w:sz w:val="20"/>
          <w:szCs w:val="20"/>
        </w:rPr>
        <w:t>. ეს მაჩვენებელი ძირითადად განპირობებულია მიწოდე</w:t>
      </w:r>
      <w:r w:rsidRPr="00D01AD4">
        <w:rPr>
          <w:rFonts w:ascii="Sylfaen" w:hAnsi="Sylfaen" w:cs="Segoe UI"/>
          <w:sz w:val="20"/>
          <w:szCs w:val="20"/>
        </w:rPr>
        <w:t>ბის შოკ</w:t>
      </w:r>
      <w:r w:rsidRPr="00D01AD4">
        <w:rPr>
          <w:rFonts w:ascii="Sylfaen" w:hAnsi="Sylfaen" w:cs="Segoe UI"/>
          <w:sz w:val="20"/>
          <w:szCs w:val="20"/>
          <w:lang w:val="ka-GE"/>
        </w:rPr>
        <w:t>ი</w:t>
      </w:r>
      <w:r w:rsidRPr="00D01AD4">
        <w:rPr>
          <w:rFonts w:ascii="Sylfaen" w:hAnsi="Sylfaen" w:cs="Segoe UI"/>
          <w:sz w:val="20"/>
          <w:szCs w:val="20"/>
        </w:rPr>
        <w:t>თ</w:t>
      </w:r>
      <w:r w:rsidRPr="00D01AD4">
        <w:rPr>
          <w:rFonts w:ascii="Sylfaen" w:hAnsi="Sylfaen" w:cs="Segoe UI"/>
          <w:sz w:val="20"/>
          <w:szCs w:val="20"/>
          <w:lang w:val="ka-GE"/>
        </w:rPr>
        <w:t xml:space="preserve">, </w:t>
      </w:r>
      <w:r>
        <w:rPr>
          <w:rFonts w:ascii="Sylfaen" w:hAnsi="Sylfaen" w:cs="Segoe UI"/>
          <w:sz w:val="20"/>
          <w:szCs w:val="20"/>
          <w:lang w:val="ka-GE"/>
        </w:rPr>
        <w:t xml:space="preserve">რაც როგორც </w:t>
      </w:r>
      <w:r w:rsidRPr="00D01AD4">
        <w:rPr>
          <w:rFonts w:ascii="Sylfaen" w:hAnsi="Sylfaen"/>
          <w:sz w:val="20"/>
          <w:szCs w:val="20"/>
          <w:lang w:val="ka-GE"/>
        </w:rPr>
        <w:t>გლობალურად მიმდინარე სხვადასხვა მოვლენების</w:t>
      </w:r>
      <w:r>
        <w:rPr>
          <w:rFonts w:ascii="Sylfaen" w:hAnsi="Sylfaen"/>
          <w:sz w:val="20"/>
          <w:szCs w:val="20"/>
          <w:lang w:val="ka-GE"/>
        </w:rPr>
        <w:t xml:space="preserve"> გამო</w:t>
      </w:r>
      <w:r w:rsidRPr="00D01AD4">
        <w:rPr>
          <w:rFonts w:ascii="Sylfaen" w:hAnsi="Sylfaen" w:cs="Segoe UI"/>
          <w:sz w:val="20"/>
          <w:szCs w:val="20"/>
          <w:lang w:val="ka-GE"/>
        </w:rPr>
        <w:t xml:space="preserve"> წარმოების გაზრდილ ხარჯებსა და </w:t>
      </w:r>
      <w:r>
        <w:rPr>
          <w:rFonts w:ascii="Sylfaen" w:hAnsi="Sylfaen" w:cs="Segoe UI"/>
          <w:sz w:val="20"/>
          <w:szCs w:val="20"/>
          <w:lang w:val="ka-GE"/>
        </w:rPr>
        <w:t>გაზრდილ იმპორტირებულ ინფლაციას გულისხმობს</w:t>
      </w:r>
      <w:r w:rsidR="0089596A">
        <w:rPr>
          <w:rFonts w:ascii="Sylfaen" w:hAnsi="Sylfaen" w:cs="Segoe UI"/>
          <w:sz w:val="20"/>
          <w:szCs w:val="20"/>
          <w:lang w:val="ka-GE"/>
        </w:rPr>
        <w:t xml:space="preserve">. </w:t>
      </w:r>
      <w:r w:rsidRPr="00194344">
        <w:rPr>
          <w:rFonts w:ascii="Sylfaen" w:hAnsi="Sylfaen" w:cs="Segoe UI"/>
          <w:sz w:val="20"/>
          <w:szCs w:val="20"/>
        </w:rPr>
        <w:t xml:space="preserve">საშუალოვადიან პერიოდში </w:t>
      </w:r>
      <w:r>
        <w:rPr>
          <w:rFonts w:ascii="Sylfaen" w:hAnsi="Sylfaen" w:cs="Segoe UI"/>
          <w:sz w:val="20"/>
          <w:szCs w:val="20"/>
          <w:lang w:val="ka-GE"/>
        </w:rPr>
        <w:t>მოსალოდნელია, რომ გაძლიერდება გამკაცრებული მონეტარული პოლიტიკის გავლენა ფასებზე შემცირების მიმართულებით</w:t>
      </w:r>
      <w:r w:rsidR="0089596A">
        <w:rPr>
          <w:rFonts w:ascii="Sylfaen" w:hAnsi="Sylfaen" w:cs="Segoe UI"/>
          <w:sz w:val="20"/>
          <w:szCs w:val="20"/>
          <w:lang w:val="ka-GE"/>
        </w:rPr>
        <w:t xml:space="preserve"> და შემცირდება საგარეო შოკების წნეხიც</w:t>
      </w:r>
      <w:r>
        <w:rPr>
          <w:rFonts w:ascii="Sylfaen" w:hAnsi="Sylfaen" w:cs="Segoe UI"/>
          <w:sz w:val="20"/>
          <w:szCs w:val="20"/>
          <w:lang w:val="ka-GE"/>
        </w:rPr>
        <w:t xml:space="preserve">, </w:t>
      </w:r>
      <w:r w:rsidRPr="00194344">
        <w:rPr>
          <w:rFonts w:ascii="Sylfaen" w:hAnsi="Sylfaen" w:cs="Segoe UI"/>
          <w:sz w:val="20"/>
          <w:szCs w:val="20"/>
        </w:rPr>
        <w:t xml:space="preserve">რაც ინფლაციის დასტაბილურებას გამოიწვევს. </w:t>
      </w:r>
      <w:r>
        <w:rPr>
          <w:rFonts w:ascii="Sylfaen" w:hAnsi="Sylfaen" w:cs="Segoe UI"/>
          <w:sz w:val="20"/>
          <w:szCs w:val="20"/>
          <w:lang w:val="ka-GE"/>
        </w:rPr>
        <w:t>202</w:t>
      </w:r>
      <w:r>
        <w:rPr>
          <w:rFonts w:ascii="Sylfaen" w:hAnsi="Sylfaen" w:cs="Segoe UI"/>
          <w:sz w:val="20"/>
          <w:szCs w:val="20"/>
        </w:rPr>
        <w:t>4</w:t>
      </w:r>
      <w:r>
        <w:rPr>
          <w:rFonts w:ascii="Sylfaen" w:hAnsi="Sylfaen" w:cs="Segoe UI"/>
          <w:sz w:val="20"/>
          <w:szCs w:val="20"/>
          <w:lang w:val="ka-GE"/>
        </w:rPr>
        <w:t xml:space="preserve"> წლიდან ინფლაციის პროგნოზი მიზნობრივი მაჩვენებლის ტოლია.</w:t>
      </w:r>
    </w:p>
    <w:p w:rsidR="000159BC" w:rsidRPr="00912D9E" w:rsidRDefault="000159BC" w:rsidP="000159BC">
      <w:pPr>
        <w:spacing w:before="240" w:line="276" w:lineRule="auto"/>
        <w:ind w:firstLine="540"/>
        <w:jc w:val="both"/>
        <w:rPr>
          <w:rFonts w:ascii="Sylfaen" w:hAnsi="Sylfaen" w:cs="Segoe UI"/>
          <w:sz w:val="20"/>
          <w:szCs w:val="20"/>
          <w:lang w:val="ka-GE"/>
        </w:rPr>
      </w:pPr>
      <w:r w:rsidRPr="00743EDE">
        <w:rPr>
          <w:rFonts w:ascii="Sylfaen" w:hAnsi="Sylfaen" w:cs="Segoe UI"/>
          <w:sz w:val="20"/>
          <w:szCs w:val="20"/>
          <w:lang w:val="ka-GE"/>
        </w:rPr>
        <w:t xml:space="preserve">2020 წელს </w:t>
      </w:r>
      <w:r w:rsidRPr="00743EDE">
        <w:rPr>
          <w:rFonts w:ascii="Sylfaen" w:hAnsi="Sylfaen" w:cs="Segoe UI"/>
          <w:sz w:val="20"/>
          <w:szCs w:val="20"/>
        </w:rPr>
        <w:t>რეგიონში განვითარებული გეოპოლიტიკური რისკების ფონზე, აგრეთვე გაუარესებული ფისკალური პოზიციისა და შემცირებული შემოსავლების ფონზე მნიშვნელოვან</w:t>
      </w:r>
      <w:r w:rsidRPr="00743EDE">
        <w:rPr>
          <w:rFonts w:ascii="Sylfaen" w:hAnsi="Sylfaen" w:cs="Segoe UI"/>
          <w:sz w:val="20"/>
          <w:szCs w:val="20"/>
          <w:lang w:val="ka-GE"/>
        </w:rPr>
        <w:t>ი</w:t>
      </w:r>
      <w:r w:rsidRPr="00743EDE">
        <w:rPr>
          <w:rFonts w:ascii="Sylfaen" w:hAnsi="Sylfaen" w:cs="Segoe UI"/>
          <w:sz w:val="20"/>
          <w:szCs w:val="20"/>
        </w:rPr>
        <w:t xml:space="preserve"> დარტყმა მიიღ</w:t>
      </w:r>
      <w:r w:rsidRPr="00743EDE">
        <w:rPr>
          <w:rFonts w:ascii="Sylfaen" w:hAnsi="Sylfaen" w:cs="Segoe UI"/>
          <w:sz w:val="20"/>
          <w:szCs w:val="20"/>
          <w:lang w:val="ka-GE"/>
        </w:rPr>
        <w:t>ო</w:t>
      </w:r>
      <w:r w:rsidRPr="00743EDE">
        <w:rPr>
          <w:rFonts w:ascii="Sylfaen" w:hAnsi="Sylfaen" w:cs="Segoe UI"/>
          <w:sz w:val="20"/>
          <w:szCs w:val="20"/>
        </w:rPr>
        <w:t xml:space="preserve"> კერძო ინვესტიციებ</w:t>
      </w:r>
      <w:r w:rsidRPr="00743EDE">
        <w:rPr>
          <w:rFonts w:ascii="Sylfaen" w:hAnsi="Sylfaen" w:cs="Segoe UI"/>
          <w:sz w:val="20"/>
          <w:szCs w:val="20"/>
          <w:lang w:val="ka-GE"/>
        </w:rPr>
        <w:t xml:space="preserve">მა, </w:t>
      </w:r>
      <w:r w:rsidRPr="00D16B0A">
        <w:rPr>
          <w:rFonts w:ascii="Sylfaen" w:hAnsi="Sylfaen" w:cs="Segoe UI"/>
          <w:sz w:val="20"/>
          <w:szCs w:val="20"/>
          <w:lang w:val="ka-GE"/>
        </w:rPr>
        <w:t xml:space="preserve">რაც 2021 წელსაც გაგრძელდა და საშუალოდ შეადგინა მშპ-ს </w:t>
      </w:r>
      <w:r w:rsidR="00FC675B">
        <w:rPr>
          <w:rFonts w:ascii="Sylfaen" w:hAnsi="Sylfaen" w:cs="Segoe UI"/>
          <w:sz w:val="20"/>
          <w:szCs w:val="20"/>
        </w:rPr>
        <w:t>14.4</w:t>
      </w:r>
      <w:r w:rsidRPr="00D16B0A">
        <w:rPr>
          <w:rFonts w:ascii="Sylfaen" w:hAnsi="Sylfaen" w:cs="Segoe UI"/>
          <w:sz w:val="20"/>
          <w:szCs w:val="20"/>
          <w:lang w:val="ka-GE"/>
        </w:rPr>
        <w:t>%.</w:t>
      </w:r>
      <w:r w:rsidR="0089596A" w:rsidRPr="00D16B0A">
        <w:rPr>
          <w:rFonts w:ascii="Sylfaen" w:hAnsi="Sylfaen" w:cs="Segoe UI"/>
          <w:sz w:val="20"/>
          <w:szCs w:val="20"/>
          <w:lang w:val="ka-GE"/>
        </w:rPr>
        <w:t xml:space="preserve"> </w:t>
      </w:r>
      <w:r w:rsidRPr="00D16B0A">
        <w:rPr>
          <w:rFonts w:ascii="Sylfaen" w:hAnsi="Sylfaen" w:cs="Segoe UI"/>
          <w:sz w:val="20"/>
          <w:szCs w:val="20"/>
          <w:lang w:val="ka-GE"/>
        </w:rPr>
        <w:t xml:space="preserve"> </w:t>
      </w:r>
      <w:r w:rsidR="0089596A" w:rsidRPr="00D16B0A">
        <w:rPr>
          <w:rFonts w:ascii="Sylfaen" w:hAnsi="Sylfaen" w:cs="Segoe UI"/>
          <w:sz w:val="20"/>
          <w:szCs w:val="20"/>
          <w:lang w:val="ka-GE"/>
        </w:rPr>
        <w:t xml:space="preserve">თუმცა, </w:t>
      </w:r>
      <w:r w:rsidRPr="00D16B0A">
        <w:rPr>
          <w:rFonts w:ascii="Sylfaen" w:hAnsi="Sylfaen" w:cs="Segoe UI"/>
          <w:sz w:val="20"/>
          <w:szCs w:val="20"/>
          <w:lang w:val="ka-GE"/>
        </w:rPr>
        <w:t xml:space="preserve">2022 წელს მოსალოდნელია მისი გაუმჯობესება და მშპ-ს </w:t>
      </w:r>
      <w:r w:rsidR="00FC675B">
        <w:rPr>
          <w:rFonts w:ascii="Sylfaen" w:hAnsi="Sylfaen" w:cs="Segoe UI"/>
          <w:sz w:val="20"/>
          <w:szCs w:val="20"/>
        </w:rPr>
        <w:t>17.0</w:t>
      </w:r>
      <w:r w:rsidRPr="00D16B0A">
        <w:rPr>
          <w:rFonts w:ascii="Sylfaen" w:hAnsi="Sylfaen" w:cs="Segoe UI"/>
          <w:sz w:val="20"/>
          <w:szCs w:val="20"/>
          <w:lang w:val="ka-GE"/>
        </w:rPr>
        <w:t>%-ის დონეზე მიღწევა</w:t>
      </w:r>
      <w:r w:rsidRPr="00D16B0A">
        <w:rPr>
          <w:rFonts w:ascii="Sylfaen" w:hAnsi="Sylfaen" w:cs="Segoe UI"/>
          <w:sz w:val="20"/>
          <w:szCs w:val="20"/>
        </w:rPr>
        <w:t xml:space="preserve">. </w:t>
      </w:r>
      <w:r w:rsidRPr="00D16B0A">
        <w:rPr>
          <w:rFonts w:ascii="Sylfaen" w:hAnsi="Sylfaen" w:cs="Segoe UI"/>
          <w:sz w:val="20"/>
          <w:szCs w:val="20"/>
          <w:lang w:val="ka-GE"/>
        </w:rPr>
        <w:t>მომდევნო</w:t>
      </w:r>
      <w:r w:rsidRPr="001669FC">
        <w:rPr>
          <w:rFonts w:ascii="Sylfaen" w:hAnsi="Sylfaen" w:cs="Segoe UI"/>
          <w:sz w:val="20"/>
          <w:szCs w:val="20"/>
          <w:lang w:val="ka-GE"/>
        </w:rPr>
        <w:t xml:space="preserve"> წელს </w:t>
      </w:r>
      <w:r w:rsidRPr="001669FC">
        <w:rPr>
          <w:rFonts w:ascii="Sylfaen" w:hAnsi="Sylfaen" w:cs="Segoe UI"/>
          <w:sz w:val="20"/>
          <w:szCs w:val="20"/>
        </w:rPr>
        <w:t>ინვესტიციები</w:t>
      </w:r>
      <w:r w:rsidRPr="001669FC">
        <w:rPr>
          <w:rFonts w:ascii="Sylfaen" w:hAnsi="Sylfaen" w:cs="Segoe UI"/>
          <w:sz w:val="20"/>
          <w:szCs w:val="20"/>
          <w:lang w:val="ka-GE"/>
        </w:rPr>
        <w:t xml:space="preserve"> აღდგენას განაგრძობს და </w:t>
      </w:r>
      <w:r w:rsidRPr="002A6E5D">
        <w:rPr>
          <w:rFonts w:ascii="Sylfaen" w:hAnsi="Sylfaen" w:cs="Segoe UI"/>
          <w:sz w:val="20"/>
          <w:szCs w:val="20"/>
          <w:lang w:val="ka-GE"/>
        </w:rPr>
        <w:t>მოსალოდნელია, რომ საშუალოვადიან პერიოდში დაუბრუნდება</w:t>
      </w:r>
      <w:r w:rsidR="00007E44">
        <w:rPr>
          <w:rFonts w:ascii="Sylfaen" w:hAnsi="Sylfaen" w:cs="Segoe UI"/>
          <w:sz w:val="20"/>
          <w:szCs w:val="20"/>
          <w:lang w:val="ka-GE"/>
        </w:rPr>
        <w:t xml:space="preserve"> (და გადააჭარბებს)</w:t>
      </w:r>
      <w:r w:rsidRPr="002A6E5D">
        <w:rPr>
          <w:rFonts w:ascii="Sylfaen" w:hAnsi="Sylfaen" w:cs="Segoe UI"/>
          <w:sz w:val="20"/>
          <w:szCs w:val="20"/>
          <w:lang w:val="ka-GE"/>
        </w:rPr>
        <w:t xml:space="preserve"> 2019 წლის მაჩვენებელს, მშპ-სთან მიმართებაში.</w:t>
      </w:r>
      <w:r w:rsidRPr="00912D9E">
        <w:rPr>
          <w:rFonts w:ascii="Sylfaen" w:hAnsi="Sylfaen" w:cs="Segoe UI"/>
          <w:sz w:val="20"/>
          <w:szCs w:val="20"/>
          <w:lang w:val="ka-GE"/>
        </w:rPr>
        <w:t xml:space="preserve"> თუმცა აღსანიშნავია, რომ 2019-2021 წლებში მიღებული დანაკლისი ამცირებს ზრდის პოტენციალს. მნიშვნელოვანია ისიც, რომ შემცირებული ინვესტიციები, ერთი მხრივ, ამცირებს მიმდინარე ანგარიშის დეფიციტს, რაც საგარეო მოწყვლადობის</w:t>
      </w:r>
      <w:r w:rsidR="0089596A">
        <w:rPr>
          <w:rFonts w:ascii="Sylfaen" w:hAnsi="Sylfaen" w:cs="Segoe UI"/>
          <w:sz w:val="20"/>
          <w:szCs w:val="20"/>
          <w:lang w:val="ka-GE"/>
        </w:rPr>
        <w:t>ათვის</w:t>
      </w:r>
      <w:r w:rsidRPr="00912D9E">
        <w:rPr>
          <w:rFonts w:ascii="Sylfaen" w:hAnsi="Sylfaen" w:cs="Segoe UI"/>
          <w:sz w:val="20"/>
          <w:szCs w:val="20"/>
          <w:lang w:val="ka-GE"/>
        </w:rPr>
        <w:t xml:space="preserve"> პოზიტიურ</w:t>
      </w:r>
      <w:r w:rsidR="0089596A">
        <w:rPr>
          <w:rFonts w:ascii="Sylfaen" w:hAnsi="Sylfaen" w:cs="Segoe UI"/>
          <w:sz w:val="20"/>
          <w:szCs w:val="20"/>
          <w:lang w:val="ka-GE"/>
        </w:rPr>
        <w:t xml:space="preserve"> ფაქტორს წარმოადგენს</w:t>
      </w:r>
      <w:r w:rsidRPr="00912D9E">
        <w:rPr>
          <w:rFonts w:ascii="Sylfaen" w:hAnsi="Sylfaen" w:cs="Segoe UI"/>
          <w:sz w:val="20"/>
          <w:szCs w:val="20"/>
          <w:lang w:val="ka-GE"/>
        </w:rPr>
        <w:t xml:space="preserve">. თუმცა, მეორე მხრივ, ზრდის პოტენციალის შემცირება ხელს უშლის მაკროეკონომიკური სტაბილურობის აღდგენას. შესაბამისად, საშუალოვადიან პერიოდში ინვესტიციების მხარდაჭერა სახელმწიფო კაპიტალური ხარჯებით მნიშვნელოვანი იქნება ეკონომიკური ზრდის შესანარჩუნებლად. 2022 წლისთვის კაპიტალური ხარჯები მშპ-ს </w:t>
      </w:r>
      <w:r w:rsidR="00B575E6">
        <w:rPr>
          <w:rFonts w:ascii="Sylfaen" w:hAnsi="Sylfaen" w:cs="Segoe UI"/>
          <w:sz w:val="20"/>
          <w:szCs w:val="20"/>
        </w:rPr>
        <w:t>8.</w:t>
      </w:r>
      <w:r w:rsidR="00804F51">
        <w:rPr>
          <w:rFonts w:ascii="Sylfaen" w:hAnsi="Sylfaen" w:cs="Segoe UI"/>
          <w:sz w:val="20"/>
          <w:szCs w:val="20"/>
          <w:lang w:val="ka-GE"/>
        </w:rPr>
        <w:t>2</w:t>
      </w:r>
      <w:r>
        <w:rPr>
          <w:rFonts w:ascii="Sylfaen" w:hAnsi="Sylfaen" w:cs="Segoe UI"/>
          <w:sz w:val="20"/>
          <w:szCs w:val="20"/>
          <w:lang w:val="ka-GE"/>
        </w:rPr>
        <w:t>%-</w:t>
      </w:r>
      <w:r w:rsidRPr="00912D9E">
        <w:rPr>
          <w:rFonts w:ascii="Sylfaen" w:hAnsi="Sylfaen" w:cs="Segoe UI"/>
          <w:sz w:val="20"/>
          <w:szCs w:val="20"/>
          <w:lang w:val="ka-GE"/>
        </w:rPr>
        <w:t>ზეა მოსალოდნელი, ხოლო საშუალოვადიანი პერიოდისთვის კი</w:t>
      </w:r>
      <w:r w:rsidR="000D0826">
        <w:rPr>
          <w:rFonts w:ascii="Sylfaen" w:hAnsi="Sylfaen" w:cs="Segoe UI"/>
          <w:sz w:val="20"/>
          <w:szCs w:val="20"/>
          <w:lang w:val="ka-GE"/>
        </w:rPr>
        <w:t xml:space="preserve"> იგი</w:t>
      </w:r>
      <w:r w:rsidRPr="00912D9E">
        <w:rPr>
          <w:rFonts w:ascii="Sylfaen" w:hAnsi="Sylfaen" w:cs="Segoe UI"/>
          <w:sz w:val="20"/>
          <w:szCs w:val="20"/>
          <w:lang w:val="ka-GE"/>
        </w:rPr>
        <w:t xml:space="preserve"> </w:t>
      </w:r>
      <w:r w:rsidR="00FC675B">
        <w:rPr>
          <w:rFonts w:ascii="Sylfaen" w:hAnsi="Sylfaen" w:cs="Segoe UI"/>
          <w:sz w:val="20"/>
          <w:szCs w:val="20"/>
        </w:rPr>
        <w:t>7.0</w:t>
      </w:r>
      <w:r>
        <w:rPr>
          <w:rFonts w:ascii="Sylfaen" w:hAnsi="Sylfaen" w:cs="Segoe UI"/>
          <w:sz w:val="20"/>
          <w:szCs w:val="20"/>
          <w:lang w:val="ka-GE"/>
        </w:rPr>
        <w:t>%-</w:t>
      </w:r>
      <w:r w:rsidRPr="00912D9E">
        <w:rPr>
          <w:rFonts w:ascii="Sylfaen" w:hAnsi="Sylfaen" w:cs="Segoe UI"/>
          <w:sz w:val="20"/>
          <w:szCs w:val="20"/>
          <w:lang w:val="ka-GE"/>
        </w:rPr>
        <w:t xml:space="preserve">ის ფარგლებში </w:t>
      </w:r>
      <w:r w:rsidR="000D0826">
        <w:rPr>
          <w:rFonts w:ascii="Sylfaen" w:hAnsi="Sylfaen" w:cs="Segoe UI"/>
          <w:sz w:val="20"/>
          <w:szCs w:val="20"/>
          <w:lang w:val="ka-GE"/>
        </w:rPr>
        <w:t>დაფიქსირდება</w:t>
      </w:r>
      <w:r w:rsidR="000D0826" w:rsidRPr="00912D9E">
        <w:rPr>
          <w:rFonts w:ascii="Sylfaen" w:hAnsi="Sylfaen" w:cs="Segoe UI"/>
          <w:sz w:val="20"/>
          <w:szCs w:val="20"/>
          <w:lang w:val="ka-GE"/>
        </w:rPr>
        <w:t xml:space="preserve">. </w:t>
      </w:r>
    </w:p>
    <w:p w:rsidR="000159BC" w:rsidRPr="00BC5CCD" w:rsidRDefault="000159BC" w:rsidP="000159BC">
      <w:pPr>
        <w:spacing w:before="240" w:line="276" w:lineRule="auto"/>
        <w:ind w:firstLine="540"/>
        <w:jc w:val="both"/>
        <w:rPr>
          <w:rFonts w:ascii="Sylfaen" w:hAnsi="Sylfaen" w:cs="Segoe UI"/>
          <w:sz w:val="20"/>
          <w:szCs w:val="20"/>
        </w:rPr>
      </w:pPr>
      <w:r w:rsidRPr="00912D9E">
        <w:rPr>
          <w:rFonts w:ascii="Sylfaen" w:hAnsi="Sylfaen" w:cs="Segoe UI"/>
          <w:sz w:val="20"/>
          <w:szCs w:val="20"/>
          <w:lang w:val="ka-GE"/>
        </w:rPr>
        <w:t>საბაზისო სცენარის მიხედვით, 2022 წელს მიმდინარე ანგარიშის დეფიციტის შეფარდება მშპ-თან</w:t>
      </w:r>
      <w:r>
        <w:rPr>
          <w:rFonts w:ascii="Sylfaen" w:hAnsi="Sylfaen" w:cs="Segoe UI"/>
          <w:sz w:val="20"/>
          <w:szCs w:val="20"/>
          <w:lang w:val="ka-GE"/>
        </w:rPr>
        <w:t xml:space="preserve"> უდრის </w:t>
      </w:r>
      <w:r w:rsidR="001D4C1F">
        <w:rPr>
          <w:rFonts w:ascii="Sylfaen" w:hAnsi="Sylfaen" w:cs="Segoe UI"/>
          <w:sz w:val="20"/>
          <w:szCs w:val="20"/>
        </w:rPr>
        <w:t>5.7</w:t>
      </w:r>
      <w:r>
        <w:rPr>
          <w:rFonts w:ascii="Sylfaen" w:hAnsi="Sylfaen" w:cs="Segoe UI"/>
          <w:sz w:val="20"/>
          <w:szCs w:val="20"/>
          <w:lang w:val="ka-GE"/>
        </w:rPr>
        <w:t xml:space="preserve">%-ს, რაც </w:t>
      </w:r>
      <w:r w:rsidR="001D4C1F">
        <w:rPr>
          <w:rFonts w:ascii="Sylfaen" w:hAnsi="Sylfaen" w:cs="Segoe UI"/>
          <w:sz w:val="20"/>
          <w:szCs w:val="20"/>
        </w:rPr>
        <w:t>4.7</w:t>
      </w:r>
      <w:r>
        <w:rPr>
          <w:rFonts w:ascii="Sylfaen" w:hAnsi="Sylfaen" w:cs="Segoe UI"/>
          <w:sz w:val="20"/>
          <w:szCs w:val="20"/>
          <w:lang w:val="ka-GE"/>
        </w:rPr>
        <w:t xml:space="preserve"> პ.პ-თ ნაკლებია 2021 წლის მნიშვნელობაზე და </w:t>
      </w:r>
      <w:r w:rsidR="001D4C1F">
        <w:rPr>
          <w:rFonts w:ascii="Sylfaen" w:hAnsi="Sylfaen" w:cs="Segoe UI"/>
          <w:sz w:val="20"/>
          <w:szCs w:val="20"/>
        </w:rPr>
        <w:t>6.8</w:t>
      </w:r>
      <w:r>
        <w:rPr>
          <w:rFonts w:ascii="Sylfaen" w:hAnsi="Sylfaen" w:cs="Segoe UI"/>
          <w:sz w:val="20"/>
          <w:szCs w:val="20"/>
          <w:lang w:val="ka-GE"/>
        </w:rPr>
        <w:t xml:space="preserve"> პ.პ-თ ჩამორჩება 2020 წლის მნიშვნელობას. მომდევნო წლებში მოსალოდნელია, რომ მიმდინარე ანგარიშის დეფიციტის კლება გაგრძელდება და 2026 წლისთვის ჩამოვა მშპ-ს</w:t>
      </w:r>
      <w:r>
        <w:rPr>
          <w:rFonts w:ascii="Sylfaen" w:hAnsi="Sylfaen" w:cs="Segoe UI"/>
          <w:sz w:val="20"/>
          <w:szCs w:val="20"/>
        </w:rPr>
        <w:t xml:space="preserve"> </w:t>
      </w:r>
      <w:r w:rsidR="008D0FD4">
        <w:rPr>
          <w:rFonts w:ascii="Sylfaen" w:hAnsi="Sylfaen" w:cs="Segoe UI"/>
          <w:sz w:val="20"/>
          <w:szCs w:val="20"/>
          <w:lang w:val="ka-GE"/>
        </w:rPr>
        <w:t>4</w:t>
      </w:r>
      <w:r w:rsidR="00900FAD">
        <w:rPr>
          <w:rFonts w:ascii="Sylfaen" w:hAnsi="Sylfaen" w:cs="Segoe UI"/>
          <w:sz w:val="20"/>
          <w:szCs w:val="20"/>
          <w:lang w:val="ka-GE"/>
        </w:rPr>
        <w:t>.1</w:t>
      </w:r>
      <w:r>
        <w:rPr>
          <w:rFonts w:ascii="Sylfaen" w:hAnsi="Sylfaen" w:cs="Segoe UI"/>
          <w:sz w:val="20"/>
          <w:szCs w:val="20"/>
          <w:lang w:val="ka-GE"/>
        </w:rPr>
        <w:t>%-მდე</w:t>
      </w:r>
      <w:r>
        <w:rPr>
          <w:rFonts w:ascii="Sylfaen" w:hAnsi="Sylfaen" w:cs="Segoe UI"/>
          <w:sz w:val="20"/>
          <w:szCs w:val="20"/>
        </w:rPr>
        <w:t>.</w:t>
      </w:r>
    </w:p>
    <w:p w:rsidR="000159BC" w:rsidRDefault="000D0826" w:rsidP="000159BC">
      <w:pPr>
        <w:spacing w:before="240" w:line="276" w:lineRule="auto"/>
        <w:ind w:firstLine="540"/>
        <w:jc w:val="both"/>
        <w:rPr>
          <w:rFonts w:ascii="Sylfaen" w:hAnsi="Sylfaen" w:cs="Segoe UI"/>
          <w:sz w:val="20"/>
          <w:szCs w:val="20"/>
          <w:lang w:val="ka-GE"/>
        </w:rPr>
      </w:pPr>
      <w:r>
        <w:rPr>
          <w:rFonts w:ascii="Sylfaen" w:hAnsi="Sylfaen" w:cs="Segoe UI"/>
          <w:sz w:val="20"/>
          <w:szCs w:val="20"/>
          <w:lang w:val="ka-GE"/>
        </w:rPr>
        <w:t>2022 წლის პირველ</w:t>
      </w:r>
      <w:r w:rsidR="00965B90">
        <w:rPr>
          <w:rFonts w:ascii="Sylfaen" w:hAnsi="Sylfaen" w:cs="Segoe UI"/>
          <w:sz w:val="20"/>
          <w:szCs w:val="20"/>
          <w:lang w:val="ka-GE"/>
        </w:rPr>
        <w:t>ი 10 თვის მონაცემებით</w:t>
      </w:r>
      <w:r>
        <w:rPr>
          <w:rFonts w:ascii="Sylfaen" w:hAnsi="Sylfaen" w:cs="Segoe UI"/>
          <w:sz w:val="20"/>
          <w:szCs w:val="20"/>
          <w:lang w:val="ka-GE"/>
        </w:rPr>
        <w:t xml:space="preserve">, </w:t>
      </w:r>
      <w:r w:rsidR="000159BC">
        <w:rPr>
          <w:rFonts w:ascii="Sylfaen" w:hAnsi="Sylfaen" w:cs="Segoe UI"/>
          <w:sz w:val="20"/>
          <w:szCs w:val="20"/>
          <w:lang w:val="ka-GE"/>
        </w:rPr>
        <w:t>ტურიზმი</w:t>
      </w:r>
      <w:r w:rsidR="00305813">
        <w:rPr>
          <w:rFonts w:ascii="Sylfaen" w:hAnsi="Sylfaen" w:cs="Segoe UI"/>
          <w:sz w:val="20"/>
          <w:szCs w:val="20"/>
          <w:lang w:val="ka-GE"/>
        </w:rPr>
        <w:t>დან შემოსავლები</w:t>
      </w:r>
      <w:r w:rsidR="000159BC">
        <w:rPr>
          <w:rFonts w:ascii="Sylfaen" w:hAnsi="Sylfaen" w:cs="Segoe UI"/>
          <w:sz w:val="20"/>
          <w:szCs w:val="20"/>
          <w:lang w:val="ka-GE"/>
        </w:rPr>
        <w:t xml:space="preserve"> </w:t>
      </w:r>
      <w:r w:rsidR="00965B90">
        <w:rPr>
          <w:rFonts w:ascii="Sylfaen" w:hAnsi="Sylfaen" w:cs="Segoe UI"/>
          <w:sz w:val="20"/>
          <w:szCs w:val="20"/>
          <w:lang w:val="ka-GE"/>
        </w:rPr>
        <w:t xml:space="preserve">უკვე გაუთანაბრდა </w:t>
      </w:r>
      <w:r w:rsidR="000159BC">
        <w:rPr>
          <w:rFonts w:ascii="Sylfaen" w:hAnsi="Sylfaen" w:cs="Segoe UI"/>
          <w:sz w:val="20"/>
          <w:szCs w:val="20"/>
          <w:lang w:val="ka-GE"/>
        </w:rPr>
        <w:t xml:space="preserve">2019 წლის მაჩვენებელს და მის </w:t>
      </w:r>
      <w:r w:rsidR="00965B90">
        <w:rPr>
          <w:rFonts w:ascii="Sylfaen" w:hAnsi="Sylfaen" w:cs="Segoe UI"/>
          <w:sz w:val="20"/>
          <w:szCs w:val="20"/>
          <w:lang w:val="ka-GE"/>
        </w:rPr>
        <w:t>100.2</w:t>
      </w:r>
      <w:r w:rsidR="000159BC" w:rsidRPr="002A6E5D">
        <w:rPr>
          <w:rFonts w:ascii="Sylfaen" w:hAnsi="Sylfaen" w:cs="Segoe UI"/>
          <w:sz w:val="20"/>
          <w:szCs w:val="20"/>
          <w:lang w:val="ka-GE"/>
        </w:rPr>
        <w:t>%-ს შეადგენს.</w:t>
      </w:r>
      <w:r w:rsidR="000159BC">
        <w:rPr>
          <w:rFonts w:ascii="Sylfaen" w:hAnsi="Sylfaen" w:cs="Segoe UI"/>
          <w:sz w:val="20"/>
          <w:szCs w:val="20"/>
          <w:lang w:val="ka-GE"/>
        </w:rPr>
        <w:t xml:space="preserve"> საბაზისო </w:t>
      </w:r>
      <w:r w:rsidR="00EC3B5B">
        <w:rPr>
          <w:rFonts w:ascii="Sylfaen" w:hAnsi="Sylfaen" w:cs="Segoe UI"/>
          <w:sz w:val="20"/>
          <w:szCs w:val="20"/>
          <w:lang w:val="ka-GE"/>
        </w:rPr>
        <w:t xml:space="preserve">სცენარის მიხედვით, </w:t>
      </w:r>
      <w:r w:rsidR="006940A7">
        <w:rPr>
          <w:rFonts w:ascii="Sylfaen" w:hAnsi="Sylfaen" w:cs="Segoe UI"/>
          <w:sz w:val="20"/>
          <w:szCs w:val="20"/>
          <w:lang w:val="ka-GE"/>
        </w:rPr>
        <w:t xml:space="preserve">2022 წლისათვის </w:t>
      </w:r>
      <w:r w:rsidR="000159BC">
        <w:rPr>
          <w:rFonts w:ascii="Sylfaen" w:hAnsi="Sylfaen" w:cs="Segoe UI"/>
          <w:sz w:val="20"/>
          <w:szCs w:val="20"/>
          <w:lang w:val="ka-GE"/>
        </w:rPr>
        <w:t>მოსალოდნელია</w:t>
      </w:r>
      <w:r w:rsidR="006940A7">
        <w:rPr>
          <w:rFonts w:ascii="Sylfaen" w:hAnsi="Sylfaen" w:cs="Segoe UI"/>
          <w:sz w:val="20"/>
          <w:szCs w:val="20"/>
          <w:lang w:val="ka-GE"/>
        </w:rPr>
        <w:t>, რომ</w:t>
      </w:r>
      <w:r w:rsidR="000159BC">
        <w:rPr>
          <w:rFonts w:ascii="Sylfaen" w:hAnsi="Sylfaen" w:cs="Segoe UI"/>
          <w:sz w:val="20"/>
          <w:szCs w:val="20"/>
          <w:lang w:val="ka-GE"/>
        </w:rPr>
        <w:t xml:space="preserve"> ტურიზმი </w:t>
      </w:r>
      <w:r w:rsidR="00965B90">
        <w:rPr>
          <w:rFonts w:ascii="Sylfaen" w:hAnsi="Sylfaen" w:cs="Segoe UI"/>
          <w:sz w:val="20"/>
          <w:szCs w:val="20"/>
          <w:lang w:val="ka-GE"/>
        </w:rPr>
        <w:t>გადა</w:t>
      </w:r>
      <w:r w:rsidR="00112C1B">
        <w:rPr>
          <w:rFonts w:ascii="Sylfaen" w:hAnsi="Sylfaen" w:cs="Segoe UI"/>
          <w:sz w:val="20"/>
          <w:szCs w:val="20"/>
          <w:lang w:val="ka-GE"/>
        </w:rPr>
        <w:t>ა</w:t>
      </w:r>
      <w:r w:rsidR="00965B90">
        <w:rPr>
          <w:rFonts w:ascii="Sylfaen" w:hAnsi="Sylfaen" w:cs="Segoe UI"/>
          <w:sz w:val="20"/>
          <w:szCs w:val="20"/>
          <w:lang w:val="ka-GE"/>
        </w:rPr>
        <w:t>ჭარბებ</w:t>
      </w:r>
      <w:r w:rsidR="00112C1B">
        <w:rPr>
          <w:rFonts w:ascii="Sylfaen" w:hAnsi="Sylfaen" w:cs="Segoe UI"/>
          <w:sz w:val="20"/>
          <w:szCs w:val="20"/>
          <w:lang w:val="ka-GE"/>
        </w:rPr>
        <w:t>ს</w:t>
      </w:r>
      <w:r w:rsidR="00965B90">
        <w:rPr>
          <w:rFonts w:ascii="Sylfaen" w:hAnsi="Sylfaen" w:cs="Segoe UI"/>
          <w:sz w:val="20"/>
          <w:szCs w:val="20"/>
          <w:lang w:val="ka-GE"/>
        </w:rPr>
        <w:t xml:space="preserve"> </w:t>
      </w:r>
      <w:r w:rsidR="00EC3B5B">
        <w:rPr>
          <w:rFonts w:ascii="Sylfaen" w:hAnsi="Sylfaen" w:cs="Segoe UI"/>
          <w:sz w:val="20"/>
          <w:szCs w:val="20"/>
          <w:lang w:val="ka-GE"/>
        </w:rPr>
        <w:t>2019 წლის დონე</w:t>
      </w:r>
      <w:r w:rsidR="006940A7">
        <w:rPr>
          <w:rFonts w:ascii="Sylfaen" w:hAnsi="Sylfaen" w:cs="Segoe UI"/>
          <w:sz w:val="20"/>
          <w:szCs w:val="20"/>
          <w:lang w:val="ka-GE"/>
        </w:rPr>
        <w:t>ს და საშუალოვადიან პერიოდში ზრდას განაგრძობს</w:t>
      </w:r>
      <w:r w:rsidR="000159BC">
        <w:rPr>
          <w:rFonts w:ascii="Sylfaen" w:hAnsi="Sylfaen" w:cs="Segoe UI"/>
          <w:sz w:val="20"/>
          <w:szCs w:val="20"/>
          <w:lang w:val="ka-GE"/>
        </w:rPr>
        <w:t xml:space="preserve">. </w:t>
      </w:r>
      <w:r w:rsidR="000159BC" w:rsidRPr="00194344">
        <w:rPr>
          <w:rFonts w:ascii="Sylfaen" w:hAnsi="Sylfaen" w:cs="Segoe UI"/>
          <w:sz w:val="20"/>
          <w:szCs w:val="20"/>
          <w:lang w:val="ka-GE"/>
        </w:rPr>
        <w:t>202</w:t>
      </w:r>
      <w:r w:rsidR="000159BC">
        <w:rPr>
          <w:rFonts w:ascii="Sylfaen" w:hAnsi="Sylfaen" w:cs="Segoe UI"/>
          <w:sz w:val="20"/>
          <w:szCs w:val="20"/>
          <w:lang w:val="ka-GE"/>
        </w:rPr>
        <w:t>2</w:t>
      </w:r>
      <w:r w:rsidR="000159BC" w:rsidRPr="00194344">
        <w:rPr>
          <w:rFonts w:ascii="Sylfaen" w:hAnsi="Sylfaen" w:cs="Segoe UI"/>
          <w:sz w:val="20"/>
          <w:szCs w:val="20"/>
          <w:lang w:val="ka-GE"/>
        </w:rPr>
        <w:t xml:space="preserve"> წელს </w:t>
      </w:r>
      <w:r w:rsidR="006940A7">
        <w:rPr>
          <w:rFonts w:ascii="Sylfaen" w:hAnsi="Sylfaen" w:cs="Segoe UI"/>
          <w:sz w:val="20"/>
          <w:szCs w:val="20"/>
          <w:lang w:val="ka-GE"/>
        </w:rPr>
        <w:t xml:space="preserve">მთლიანი </w:t>
      </w:r>
      <w:r w:rsidR="000159BC">
        <w:rPr>
          <w:rFonts w:ascii="Sylfaen" w:hAnsi="Sylfaen" w:cs="Segoe UI"/>
          <w:sz w:val="20"/>
          <w:szCs w:val="20"/>
          <w:lang w:val="ka-GE"/>
        </w:rPr>
        <w:t xml:space="preserve">ექსპორტიც </w:t>
      </w:r>
      <w:r>
        <w:rPr>
          <w:rFonts w:ascii="Sylfaen" w:hAnsi="Sylfaen" w:cs="Segoe UI"/>
          <w:sz w:val="20"/>
          <w:szCs w:val="20"/>
          <w:lang w:val="ka-GE"/>
        </w:rPr>
        <w:t xml:space="preserve">განაგრძობს </w:t>
      </w:r>
      <w:r w:rsidR="000159BC">
        <w:rPr>
          <w:rFonts w:ascii="Sylfaen" w:hAnsi="Sylfaen" w:cs="Segoe UI"/>
          <w:sz w:val="20"/>
          <w:szCs w:val="20"/>
          <w:lang w:val="ka-GE"/>
        </w:rPr>
        <w:t>აღდგენას და დოლარ</w:t>
      </w:r>
      <w:r>
        <w:rPr>
          <w:rFonts w:ascii="Sylfaen" w:hAnsi="Sylfaen" w:cs="Segoe UI"/>
          <w:sz w:val="20"/>
          <w:szCs w:val="20"/>
          <w:lang w:val="ka-GE"/>
        </w:rPr>
        <w:t>ში</w:t>
      </w:r>
      <w:r w:rsidR="000159BC">
        <w:rPr>
          <w:rFonts w:ascii="Sylfaen" w:hAnsi="Sylfaen" w:cs="Segoe UI"/>
          <w:sz w:val="20"/>
          <w:szCs w:val="20"/>
          <w:lang w:val="ka-GE"/>
        </w:rPr>
        <w:t xml:space="preserve"> გამოსახული </w:t>
      </w:r>
      <w:r w:rsidR="000159BC" w:rsidRPr="00194344">
        <w:rPr>
          <w:rFonts w:ascii="Sylfaen" w:hAnsi="Sylfaen" w:cs="Segoe UI"/>
          <w:sz w:val="20"/>
          <w:szCs w:val="20"/>
          <w:lang w:val="ka-GE"/>
        </w:rPr>
        <w:t xml:space="preserve">ექსპორტის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მოსალოდნელია </w:t>
      </w:r>
      <w:r>
        <w:rPr>
          <w:rFonts w:ascii="Sylfaen" w:hAnsi="Sylfaen" w:cs="Segoe UI"/>
          <w:sz w:val="20"/>
          <w:szCs w:val="20"/>
          <w:lang w:val="ka-GE"/>
        </w:rPr>
        <w:t xml:space="preserve">რომ </w:t>
      </w:r>
      <w:r w:rsidR="005311E7">
        <w:rPr>
          <w:rFonts w:ascii="Sylfaen" w:hAnsi="Sylfaen" w:cs="Segoe UI"/>
          <w:sz w:val="20"/>
          <w:szCs w:val="20"/>
        </w:rPr>
        <w:t>44.5</w:t>
      </w:r>
      <w:r w:rsidR="000159BC">
        <w:rPr>
          <w:rFonts w:ascii="Sylfaen" w:hAnsi="Sylfaen" w:cs="Segoe UI"/>
          <w:sz w:val="20"/>
          <w:szCs w:val="20"/>
          <w:lang w:val="ka-GE"/>
        </w:rPr>
        <w:t>%</w:t>
      </w:r>
      <w:r w:rsidR="003F0B3B">
        <w:rPr>
          <w:rFonts w:ascii="Sylfaen" w:hAnsi="Sylfaen" w:cs="Segoe UI"/>
          <w:sz w:val="20"/>
          <w:szCs w:val="20"/>
          <w:lang w:val="ka-GE"/>
        </w:rPr>
        <w:t xml:space="preserve"> იქნება</w:t>
      </w:r>
      <w:r w:rsidR="000159BC">
        <w:rPr>
          <w:rFonts w:ascii="Sylfaen" w:hAnsi="Sylfaen" w:cs="Segoe UI"/>
          <w:sz w:val="20"/>
          <w:szCs w:val="20"/>
          <w:lang w:val="ka-GE"/>
        </w:rPr>
        <w:t>,</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ხოლო </w:t>
      </w:r>
      <w:r w:rsidR="000159BC" w:rsidRPr="00194344">
        <w:rPr>
          <w:rFonts w:ascii="Sylfaen" w:hAnsi="Sylfaen" w:cs="Segoe UI"/>
          <w:sz w:val="20"/>
          <w:szCs w:val="20"/>
          <w:lang w:val="ka-GE"/>
        </w:rPr>
        <w:t>202</w:t>
      </w:r>
      <w:r w:rsidR="000159BC">
        <w:rPr>
          <w:rFonts w:ascii="Sylfaen" w:hAnsi="Sylfaen" w:cs="Segoe UI"/>
          <w:sz w:val="20"/>
          <w:szCs w:val="20"/>
          <w:lang w:val="ka-GE"/>
        </w:rPr>
        <w:t>3</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წლიდან საშუალოდ </w:t>
      </w:r>
      <w:r w:rsidR="005311E7">
        <w:rPr>
          <w:rFonts w:ascii="Sylfaen" w:hAnsi="Sylfaen" w:cs="Segoe UI"/>
          <w:sz w:val="20"/>
          <w:szCs w:val="20"/>
        </w:rPr>
        <w:t>12.8</w:t>
      </w:r>
      <w:r w:rsidR="000159BC">
        <w:rPr>
          <w:rFonts w:ascii="Sylfaen" w:hAnsi="Sylfaen" w:cs="Segoe UI"/>
          <w:sz w:val="20"/>
          <w:szCs w:val="20"/>
          <w:lang w:val="ka-GE"/>
        </w:rPr>
        <w:t>%-ით გაიზრდება</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 xml:space="preserve"> </w:t>
      </w:r>
    </w:p>
    <w:p w:rsidR="0089596A" w:rsidRDefault="00657BAD" w:rsidP="0089596A">
      <w:pPr>
        <w:spacing w:before="240" w:line="276" w:lineRule="auto"/>
        <w:jc w:val="both"/>
        <w:rPr>
          <w:rFonts w:ascii="Sylfaen" w:hAnsi="Sylfaen" w:cs="Segoe UI"/>
          <w:sz w:val="20"/>
          <w:szCs w:val="20"/>
          <w:lang w:val="ka-GE"/>
        </w:rPr>
      </w:pPr>
      <w:r>
        <w:rPr>
          <w:noProof/>
        </w:rPr>
        <w:drawing>
          <wp:anchor distT="0" distB="0" distL="114300" distR="114300" simplePos="0" relativeHeight="251702272" behindDoc="1" locked="0" layoutInCell="1" allowOverlap="1">
            <wp:simplePos x="0" y="0"/>
            <wp:positionH relativeFrom="margin">
              <wp:posOffset>3430905</wp:posOffset>
            </wp:positionH>
            <wp:positionV relativeFrom="paragraph">
              <wp:posOffset>3191510</wp:posOffset>
            </wp:positionV>
            <wp:extent cx="3523615" cy="2638425"/>
            <wp:effectExtent l="0" t="0" r="635" b="0"/>
            <wp:wrapTight wrapText="bothSides">
              <wp:wrapPolygon edited="0">
                <wp:start x="0" y="0"/>
                <wp:lineTo x="0" y="21366"/>
                <wp:lineTo x="21487" y="21366"/>
                <wp:lineTo x="21487" y="0"/>
                <wp:lineTo x="0" y="0"/>
              </wp:wrapPolygon>
            </wp:wrapTight>
            <wp:docPr id="17" name="Chart 17">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1" locked="0" layoutInCell="1" allowOverlap="1">
            <wp:simplePos x="0" y="0"/>
            <wp:positionH relativeFrom="margin">
              <wp:align>left</wp:align>
            </wp:positionH>
            <wp:positionV relativeFrom="paragraph">
              <wp:posOffset>154305</wp:posOffset>
            </wp:positionV>
            <wp:extent cx="3529965" cy="3048000"/>
            <wp:effectExtent l="0" t="0" r="0" b="0"/>
            <wp:wrapTight wrapText="bothSides">
              <wp:wrapPolygon edited="0">
                <wp:start x="0" y="0"/>
                <wp:lineTo x="0" y="21465"/>
                <wp:lineTo x="21448" y="21465"/>
                <wp:lineTo x="21448" y="0"/>
                <wp:lineTo x="0" y="0"/>
              </wp:wrapPolygon>
            </wp:wrapTight>
            <wp:docPr id="1"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82363C">
        <w:rPr>
          <w:noProof/>
        </w:rPr>
        <w:drawing>
          <wp:anchor distT="0" distB="0" distL="114300" distR="114300" simplePos="0" relativeHeight="251700224" behindDoc="1" locked="0" layoutInCell="1" allowOverlap="1">
            <wp:simplePos x="0" y="0"/>
            <wp:positionH relativeFrom="margin">
              <wp:posOffset>3383639</wp:posOffset>
            </wp:positionH>
            <wp:positionV relativeFrom="paragraph">
              <wp:posOffset>178325</wp:posOffset>
            </wp:positionV>
            <wp:extent cx="3571875" cy="2822575"/>
            <wp:effectExtent l="0" t="0" r="0" b="0"/>
            <wp:wrapTight wrapText="bothSides">
              <wp:wrapPolygon edited="0">
                <wp:start x="0" y="0"/>
                <wp:lineTo x="0" y="21430"/>
                <wp:lineTo x="21427" y="21430"/>
                <wp:lineTo x="21427" y="0"/>
                <wp:lineTo x="0" y="0"/>
              </wp:wrapPolygon>
            </wp:wrapTight>
            <wp:docPr id="15" name="Chart 15">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AF4337" w:rsidRPr="0089596A" w:rsidRDefault="0065719A" w:rsidP="0089596A">
      <w:pPr>
        <w:ind w:firstLine="720"/>
        <w:rPr>
          <w:rFonts w:ascii="Sylfaen" w:hAnsi="Sylfaen" w:cs="Segoe UI"/>
          <w:sz w:val="20"/>
          <w:szCs w:val="20"/>
          <w:lang w:val="ka-GE"/>
        </w:rPr>
      </w:pPr>
      <w:r>
        <w:rPr>
          <w:noProof/>
        </w:rPr>
        <w:drawing>
          <wp:anchor distT="0" distB="0" distL="114300" distR="114300" simplePos="0" relativeHeight="251701248" behindDoc="1" locked="0" layoutInCell="1" allowOverlap="1">
            <wp:simplePos x="0" y="0"/>
            <wp:positionH relativeFrom="column">
              <wp:posOffset>71755</wp:posOffset>
            </wp:positionH>
            <wp:positionV relativeFrom="paragraph">
              <wp:posOffset>2785745</wp:posOffset>
            </wp:positionV>
            <wp:extent cx="3505200" cy="2752725"/>
            <wp:effectExtent l="0" t="0" r="0" b="0"/>
            <wp:wrapTight wrapText="bothSides">
              <wp:wrapPolygon edited="0">
                <wp:start x="0" y="0"/>
                <wp:lineTo x="0" y="21376"/>
                <wp:lineTo x="21483" y="21376"/>
                <wp:lineTo x="21483" y="0"/>
                <wp:lineTo x="0" y="0"/>
              </wp:wrapPolygon>
            </wp:wrapTight>
            <wp:docPr id="16" name="Chart 1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5441"/>
      </w:tblGrid>
      <w:tr w:rsidR="00AF4337" w:rsidRPr="005B428F" w:rsidTr="009F31F0">
        <w:tc>
          <w:tcPr>
            <w:tcW w:w="10437" w:type="dxa"/>
            <w:gridSpan w:val="2"/>
          </w:tcPr>
          <w:p w:rsidR="00AF4337" w:rsidRPr="00FD5F36" w:rsidRDefault="00AF4337" w:rsidP="00544F05">
            <w:pPr>
              <w:pStyle w:val="Caption"/>
              <w:spacing w:before="240" w:line="276" w:lineRule="auto"/>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6</w:t>
            </w:r>
            <w:r w:rsidRPr="00F23CB8">
              <w:rPr>
                <w:rFonts w:cstheme="minorHAnsi"/>
                <w:i w:val="0"/>
                <w:iCs w:val="0"/>
                <w:noProof/>
              </w:rPr>
              <w:t>:</w:t>
            </w:r>
            <w:r w:rsidR="0095287D">
              <w:rPr>
                <w:noProof/>
              </w:rPr>
              <w:t xml:space="preserve"> </w:t>
            </w:r>
            <w:r w:rsidRPr="00F23CB8">
              <w:rPr>
                <w:rFonts w:cstheme="minorHAnsi"/>
                <w:i w:val="0"/>
                <w:iCs w:val="0"/>
                <w:lang w:val="ka-GE"/>
              </w:rPr>
              <w:t xml:space="preserve"> </w:t>
            </w:r>
            <w:r w:rsidRPr="00F23CB8">
              <w:rPr>
                <w:rFonts w:ascii="Sylfaen" w:hAnsi="Sylfaen" w:cs="Sylfaen"/>
                <w:i w:val="0"/>
                <w:iCs w:val="0"/>
                <w:lang w:val="ka-GE"/>
              </w:rPr>
              <w:t>პროგნოზი</w:t>
            </w:r>
            <w:r w:rsidRPr="00F23CB8">
              <w:rPr>
                <w:rFonts w:cstheme="minorHAnsi"/>
                <w:i w:val="0"/>
                <w:iCs w:val="0"/>
                <w:lang w:val="ka-GE"/>
              </w:rPr>
              <w:t xml:space="preserve"> </w:t>
            </w:r>
            <w:r w:rsidRPr="00F23CB8">
              <w:rPr>
                <w:rFonts w:ascii="Sylfaen" w:hAnsi="Sylfaen" w:cs="Sylfaen"/>
                <w:i w:val="0"/>
                <w:iCs w:val="0"/>
                <w:lang w:val="ka-GE"/>
              </w:rPr>
              <w:t>საბაზისო</w:t>
            </w:r>
            <w:r w:rsidRPr="00F23CB8">
              <w:rPr>
                <w:rFonts w:cstheme="minorHAnsi"/>
                <w:i w:val="0"/>
                <w:iCs w:val="0"/>
                <w:lang w:val="ka-GE"/>
              </w:rPr>
              <w:t xml:space="preserve"> </w:t>
            </w:r>
            <w:r w:rsidRPr="00F23CB8">
              <w:rPr>
                <w:rFonts w:ascii="Sylfaen" w:hAnsi="Sylfaen" w:cs="Sylfaen"/>
                <w:i w:val="0"/>
                <w:iCs w:val="0"/>
                <w:lang w:val="ka-GE"/>
              </w:rPr>
              <w:t>სცენარის</w:t>
            </w:r>
            <w:r w:rsidRPr="00F23CB8">
              <w:rPr>
                <w:rFonts w:cstheme="minorHAnsi"/>
                <w:i w:val="0"/>
                <w:iCs w:val="0"/>
                <w:lang w:val="ka-GE"/>
              </w:rPr>
              <w:t xml:space="preserve"> </w:t>
            </w:r>
            <w:r w:rsidRPr="00F23CB8">
              <w:rPr>
                <w:rFonts w:ascii="Sylfaen" w:hAnsi="Sylfaen" w:cs="Sylfaen"/>
                <w:i w:val="0"/>
                <w:iCs w:val="0"/>
                <w:lang w:val="ka-GE"/>
              </w:rPr>
              <w:t>მიხედვით</w:t>
            </w:r>
          </w:p>
        </w:tc>
      </w:tr>
      <w:tr w:rsidR="00AF4337" w:rsidTr="008566B7">
        <w:tc>
          <w:tcPr>
            <w:tcW w:w="4996" w:type="dxa"/>
          </w:tcPr>
          <w:p w:rsidR="00AF4337" w:rsidRDefault="00AF4337" w:rsidP="00544F05">
            <w:pPr>
              <w:spacing w:before="240" w:line="276" w:lineRule="auto"/>
              <w:jc w:val="both"/>
              <w:rPr>
                <w:rFonts w:ascii="Sylfaen" w:hAnsi="Sylfaen" w:cs="Segoe UI"/>
                <w:sz w:val="20"/>
                <w:szCs w:val="20"/>
                <w:lang w:val="ka-GE"/>
              </w:rPr>
            </w:pPr>
          </w:p>
        </w:tc>
        <w:tc>
          <w:tcPr>
            <w:tcW w:w="5441" w:type="dxa"/>
          </w:tcPr>
          <w:p w:rsidR="00AF4337" w:rsidRDefault="00AF4337" w:rsidP="00544F05">
            <w:pPr>
              <w:spacing w:before="240" w:line="276" w:lineRule="auto"/>
              <w:jc w:val="both"/>
              <w:rPr>
                <w:rFonts w:ascii="Sylfaen" w:hAnsi="Sylfaen" w:cs="Segoe UI"/>
                <w:sz w:val="20"/>
                <w:szCs w:val="20"/>
                <w:lang w:val="ka-GE"/>
              </w:rPr>
            </w:pPr>
          </w:p>
        </w:tc>
      </w:tr>
      <w:tr w:rsidR="00AF4337" w:rsidTr="008566B7">
        <w:tc>
          <w:tcPr>
            <w:tcW w:w="4996" w:type="dxa"/>
          </w:tcPr>
          <w:p w:rsidR="00AF4337" w:rsidRDefault="00AF4337" w:rsidP="00544F05">
            <w:pPr>
              <w:spacing w:before="240" w:line="276" w:lineRule="auto"/>
              <w:jc w:val="both"/>
              <w:rPr>
                <w:noProof/>
              </w:rPr>
            </w:pPr>
          </w:p>
        </w:tc>
        <w:tc>
          <w:tcPr>
            <w:tcW w:w="5441" w:type="dxa"/>
          </w:tcPr>
          <w:p w:rsidR="00AF4337" w:rsidRDefault="00AF4337" w:rsidP="00544F05">
            <w:pPr>
              <w:spacing w:before="240" w:line="276" w:lineRule="auto"/>
              <w:jc w:val="both"/>
              <w:rPr>
                <w:noProof/>
              </w:rPr>
            </w:pPr>
          </w:p>
        </w:tc>
      </w:tr>
    </w:tbl>
    <w:p w:rsidR="00AF4337" w:rsidRPr="00D4297E" w:rsidRDefault="00AF4337" w:rsidP="00544F05">
      <w:pPr>
        <w:pStyle w:val="Heading2"/>
        <w:spacing w:before="240" w:line="276" w:lineRule="auto"/>
      </w:pPr>
      <w:r>
        <w:t xml:space="preserve"> </w:t>
      </w:r>
      <w:r w:rsidRPr="00D4297E">
        <w:t>ნეგატიური</w:t>
      </w:r>
      <w:r w:rsidRPr="006A04A6">
        <w:t xml:space="preserve"> </w:t>
      </w:r>
      <w:r w:rsidRPr="00D4297E">
        <w:t xml:space="preserve">სცენარი </w:t>
      </w:r>
    </w:p>
    <w:p w:rsidR="00AF4337" w:rsidRPr="00B3116F" w:rsidRDefault="00AF4337" w:rsidP="00544F05">
      <w:pPr>
        <w:spacing w:before="240" w:line="276" w:lineRule="auto"/>
        <w:ind w:firstLine="720"/>
        <w:jc w:val="both"/>
        <w:rPr>
          <w:rFonts w:ascii="Sylfaen" w:hAnsi="Sylfaen" w:cs="Segoe UI"/>
          <w:sz w:val="18"/>
          <w:szCs w:val="20"/>
          <w:lang w:val="ka-GE"/>
        </w:rPr>
      </w:pPr>
      <w:r>
        <w:rPr>
          <w:rFonts w:ascii="Sylfaen" w:hAnsi="Sylfaen" w:cs="Segoe UI"/>
          <w:sz w:val="20"/>
          <w:szCs w:val="20"/>
          <w:lang w:val="ka-GE"/>
        </w:rPr>
        <w:t xml:space="preserve">ნეგატიური </w:t>
      </w:r>
      <w:r w:rsidRPr="00194344">
        <w:rPr>
          <w:rFonts w:ascii="Sylfaen" w:hAnsi="Sylfaen" w:cs="Segoe UI"/>
          <w:sz w:val="20"/>
          <w:szCs w:val="20"/>
          <w:lang w:val="ka-GE"/>
        </w:rPr>
        <w:t>სცენარი გულისხმობს რისკების მაღალი მასშტაბით/ალბათობით რეალიზებას</w:t>
      </w:r>
      <w:r>
        <w:rPr>
          <w:rFonts w:ascii="Sylfaen" w:hAnsi="Sylfaen" w:cs="Segoe UI"/>
          <w:sz w:val="20"/>
          <w:szCs w:val="20"/>
          <w:lang w:val="ka-GE"/>
        </w:rPr>
        <w:t xml:space="preserve">. ნეგატიური სცენარი ითვალისწინებს საბაზისოსთან შედარებით ერთბლივი მოთხოვნის უფრო დაგვიანებული აღდგენის პროცესებს და აგრეთვე მეოთხე თავში განხილული რისკების </w:t>
      </w:r>
      <w:r w:rsidR="00B028F0">
        <w:rPr>
          <w:rFonts w:ascii="Sylfaen" w:hAnsi="Sylfaen" w:cs="Segoe UI"/>
          <w:sz w:val="20"/>
          <w:szCs w:val="20"/>
          <w:lang w:val="ka-GE"/>
        </w:rPr>
        <w:t xml:space="preserve">უფრო მეტი სიმძლავრით </w:t>
      </w:r>
      <w:r>
        <w:rPr>
          <w:rFonts w:ascii="Sylfaen" w:hAnsi="Sylfaen" w:cs="Segoe UI"/>
          <w:sz w:val="20"/>
          <w:szCs w:val="20"/>
          <w:lang w:val="ka-GE"/>
        </w:rPr>
        <w:t xml:space="preserve">მატერიალიზაციას. ამასთან, ტურიზმზე მოთხოვნა სუსტი დარჩება მომდევნო წლებშიც. </w:t>
      </w:r>
      <w:r w:rsidR="000159BC">
        <w:rPr>
          <w:rFonts w:ascii="Sylfaen" w:hAnsi="Sylfaen" w:cs="Segoe UI"/>
          <w:sz w:val="20"/>
          <w:szCs w:val="20"/>
          <w:lang w:val="ka-GE"/>
        </w:rPr>
        <w:t xml:space="preserve">2022 წელს </w:t>
      </w:r>
      <w:r w:rsidR="000159BC" w:rsidRPr="00194344">
        <w:rPr>
          <w:rFonts w:ascii="Sylfaen" w:hAnsi="Sylfaen" w:cs="Segoe UI"/>
          <w:sz w:val="20"/>
          <w:szCs w:val="20"/>
          <w:lang w:val="ka-GE"/>
        </w:rPr>
        <w:t xml:space="preserve">ეკონომიკური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w:t>
      </w:r>
      <w:r w:rsidR="00173F46">
        <w:rPr>
          <w:rFonts w:ascii="Sylfaen" w:hAnsi="Sylfaen" w:cs="Segoe UI"/>
          <w:sz w:val="20"/>
          <w:szCs w:val="20"/>
        </w:rPr>
        <w:t>8.7</w:t>
      </w:r>
      <w:r w:rsidR="000159BC">
        <w:rPr>
          <w:rFonts w:ascii="Sylfaen" w:hAnsi="Sylfaen" w:cs="Segoe UI"/>
          <w:sz w:val="20"/>
          <w:szCs w:val="20"/>
          <w:lang w:val="ka-GE"/>
        </w:rPr>
        <w:t>%-</w:t>
      </w:r>
      <w:r w:rsidR="000159BC" w:rsidRPr="00194344">
        <w:rPr>
          <w:rFonts w:ascii="Sylfaen" w:hAnsi="Sylfaen" w:cs="Segoe UI"/>
          <w:sz w:val="20"/>
          <w:szCs w:val="20"/>
          <w:lang w:val="ka-GE"/>
        </w:rPr>
        <w:t>ის დონეზეა პროგნოზირებული</w:t>
      </w:r>
      <w:r w:rsidR="000159BC">
        <w:rPr>
          <w:rFonts w:ascii="Sylfaen" w:hAnsi="Sylfaen" w:cs="Segoe UI"/>
          <w:sz w:val="20"/>
          <w:szCs w:val="20"/>
          <w:lang w:val="ka-GE"/>
        </w:rPr>
        <w:t xml:space="preserve">, ხოლო 2023 წელს - </w:t>
      </w:r>
      <w:r w:rsidR="00173F46">
        <w:rPr>
          <w:rFonts w:ascii="Sylfaen" w:hAnsi="Sylfaen" w:cs="Segoe UI"/>
          <w:sz w:val="20"/>
          <w:szCs w:val="20"/>
        </w:rPr>
        <w:t>2.5</w:t>
      </w:r>
      <w:r w:rsidR="000159BC">
        <w:rPr>
          <w:rFonts w:ascii="Sylfaen" w:hAnsi="Sylfaen" w:cs="Segoe UI"/>
          <w:sz w:val="20"/>
          <w:szCs w:val="20"/>
          <w:lang w:val="ka-GE"/>
        </w:rPr>
        <w:t>%-ზე</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რაც შეეხება</w:t>
      </w:r>
      <w:r w:rsidR="000159BC" w:rsidRPr="00194344">
        <w:rPr>
          <w:rFonts w:ascii="Sylfaen" w:hAnsi="Sylfaen" w:cs="Segoe UI"/>
          <w:sz w:val="20"/>
          <w:szCs w:val="20"/>
          <w:lang w:val="ka-GE"/>
        </w:rPr>
        <w:t xml:space="preserve"> საშუალოვადიან პერიოდ</w:t>
      </w:r>
      <w:r w:rsidR="000159BC">
        <w:rPr>
          <w:rFonts w:ascii="Sylfaen" w:hAnsi="Sylfaen" w:cs="Segoe UI"/>
          <w:sz w:val="20"/>
          <w:szCs w:val="20"/>
          <w:lang w:val="ka-GE"/>
        </w:rPr>
        <w:t>ს</w:t>
      </w:r>
      <w:r w:rsidR="000159BC" w:rsidRPr="00194344">
        <w:rPr>
          <w:rFonts w:ascii="Sylfaen" w:hAnsi="Sylfaen" w:cs="Segoe UI"/>
          <w:sz w:val="20"/>
          <w:szCs w:val="20"/>
          <w:lang w:val="ka-GE"/>
        </w:rPr>
        <w:t xml:space="preserve">, </w:t>
      </w:r>
      <w:r w:rsidR="000159BC">
        <w:rPr>
          <w:rFonts w:ascii="Sylfaen" w:hAnsi="Sylfaen" w:cs="Segoe UI"/>
          <w:sz w:val="20"/>
          <w:szCs w:val="20"/>
          <w:lang w:val="ka-GE"/>
        </w:rPr>
        <w:t>2023-2026</w:t>
      </w:r>
      <w:r w:rsidR="000159BC" w:rsidRPr="00194344">
        <w:rPr>
          <w:rFonts w:ascii="Sylfaen" w:hAnsi="Sylfaen" w:cs="Segoe UI"/>
          <w:sz w:val="20"/>
          <w:szCs w:val="20"/>
          <w:lang w:val="ka-GE"/>
        </w:rPr>
        <w:t xml:space="preserve"> წლებში ეკონომიკა საშუალოდ </w:t>
      </w:r>
      <w:r w:rsidR="000159BC">
        <w:rPr>
          <w:rFonts w:ascii="Sylfaen" w:hAnsi="Sylfaen" w:cs="Segoe UI"/>
          <w:sz w:val="20"/>
          <w:szCs w:val="20"/>
          <w:lang w:val="ka-GE"/>
        </w:rPr>
        <w:t xml:space="preserve">მხოლოდ </w:t>
      </w:r>
      <w:r w:rsidR="00173F46">
        <w:rPr>
          <w:rFonts w:ascii="Sylfaen" w:hAnsi="Sylfaen" w:cs="Segoe UI"/>
          <w:sz w:val="20"/>
          <w:szCs w:val="20"/>
        </w:rPr>
        <w:t>2.6</w:t>
      </w:r>
      <w:r w:rsidR="000159BC">
        <w:rPr>
          <w:rFonts w:ascii="Sylfaen" w:hAnsi="Sylfaen" w:cs="Segoe UI"/>
          <w:sz w:val="20"/>
          <w:szCs w:val="20"/>
          <w:lang w:val="ka-GE"/>
        </w:rPr>
        <w:t>%-</w:t>
      </w:r>
      <w:r w:rsidR="000159BC" w:rsidRPr="00194344">
        <w:rPr>
          <w:rFonts w:ascii="Sylfaen" w:hAnsi="Sylfaen" w:cs="Segoe UI"/>
          <w:sz w:val="20"/>
          <w:szCs w:val="20"/>
          <w:lang w:val="ka-GE"/>
        </w:rPr>
        <w:t>ით იზრდება.</w:t>
      </w:r>
      <w:r w:rsidR="000159BC">
        <w:rPr>
          <w:rFonts w:ascii="Sylfaen" w:hAnsi="Sylfaen" w:cs="Segoe UI"/>
          <w:sz w:val="20"/>
          <w:szCs w:val="20"/>
          <w:lang w:val="ka-GE"/>
        </w:rPr>
        <w:t xml:space="preserve"> </w:t>
      </w:r>
      <w:r>
        <w:rPr>
          <w:rFonts w:ascii="Sylfaen" w:hAnsi="Sylfaen" w:cs="Segoe UI"/>
          <w:sz w:val="20"/>
          <w:szCs w:val="20"/>
          <w:lang w:val="ka-GE"/>
        </w:rPr>
        <w:t xml:space="preserve">ეკონომიკური ზრდის განგრძობადი შემცირება უკაშირდება </w:t>
      </w:r>
      <w:r w:rsidR="00275053">
        <w:rPr>
          <w:rFonts w:ascii="Sylfaen" w:hAnsi="Sylfaen" w:cs="Segoe UI"/>
          <w:sz w:val="20"/>
          <w:szCs w:val="20"/>
          <w:lang w:val="ka-GE"/>
        </w:rPr>
        <w:t>რეგიონში არსებულ მდგომარეობას, რუსეთ-უკრაინის ომის შედეგად გაურკვეველ პროგნოზებს ეკონომიკური აქტივობების შესახებ</w:t>
      </w:r>
      <w:r>
        <w:rPr>
          <w:rFonts w:ascii="Sylfaen" w:hAnsi="Sylfaen" w:cs="Segoe UI"/>
          <w:sz w:val="20"/>
          <w:szCs w:val="20"/>
          <w:lang w:val="ka-GE"/>
        </w:rPr>
        <w:t>.</w:t>
      </w:r>
    </w:p>
    <w:p w:rsidR="00AF4337" w:rsidRPr="00911BD2" w:rsidRDefault="00AF4337" w:rsidP="00544F05">
      <w:pPr>
        <w:spacing w:before="240" w:line="276" w:lineRule="auto"/>
        <w:ind w:firstLine="720"/>
        <w:jc w:val="both"/>
        <w:rPr>
          <w:rFonts w:ascii="Sylfaen" w:hAnsi="Sylfaen"/>
          <w:lang w:val="ka-GE"/>
        </w:rPr>
      </w:pPr>
      <w:r>
        <w:rPr>
          <w:rFonts w:ascii="Sylfaen" w:hAnsi="Sylfaen"/>
          <w:sz w:val="20"/>
          <w:lang w:val="ka-GE"/>
        </w:rPr>
        <w:t>აღნიშნული</w:t>
      </w:r>
      <w:r>
        <w:rPr>
          <w:rFonts w:ascii="Sylfaen" w:hAnsi="Sylfaen"/>
          <w:sz w:val="20"/>
        </w:rPr>
        <w:t xml:space="preserve"> </w:t>
      </w:r>
      <w:r w:rsidRPr="00B3116F">
        <w:rPr>
          <w:rFonts w:ascii="Sylfaen" w:hAnsi="Sylfaen"/>
          <w:sz w:val="20"/>
        </w:rPr>
        <w:t xml:space="preserve">სცენარი </w:t>
      </w:r>
      <w:r w:rsidR="00275053">
        <w:rPr>
          <w:rFonts w:ascii="Sylfaen" w:hAnsi="Sylfaen"/>
          <w:sz w:val="20"/>
          <w:lang w:val="ka-GE"/>
        </w:rPr>
        <w:t xml:space="preserve">ითვალისწინებს ომის უფრო </w:t>
      </w:r>
      <w:r w:rsidRPr="00B3116F">
        <w:rPr>
          <w:rFonts w:ascii="Sylfaen" w:hAnsi="Sylfaen"/>
          <w:sz w:val="20"/>
        </w:rPr>
        <w:t xml:space="preserve">მძიმე </w:t>
      </w:r>
      <w:r w:rsidR="00275053">
        <w:rPr>
          <w:rFonts w:ascii="Sylfaen" w:hAnsi="Sylfaen"/>
          <w:sz w:val="20"/>
          <w:lang w:val="ka-GE"/>
        </w:rPr>
        <w:t xml:space="preserve">შედეგებს საქართველოს ეკონომიკაზე </w:t>
      </w:r>
      <w:r>
        <w:rPr>
          <w:rFonts w:ascii="Sylfaen" w:hAnsi="Sylfaen"/>
          <w:sz w:val="20"/>
        </w:rPr>
        <w:t xml:space="preserve">და </w:t>
      </w:r>
      <w:r w:rsidRPr="00DB10BC">
        <w:rPr>
          <w:rFonts w:ascii="Sylfaen" w:hAnsi="Sylfaen"/>
          <w:sz w:val="20"/>
        </w:rPr>
        <w:t xml:space="preserve">ეყრდნობა დაშვებას, რომ </w:t>
      </w:r>
      <w:r w:rsidR="00275053">
        <w:rPr>
          <w:rFonts w:ascii="Sylfaen" w:hAnsi="Sylfaen"/>
          <w:sz w:val="20"/>
          <w:lang w:val="ka-GE"/>
        </w:rPr>
        <w:t>მაღალი ი</w:t>
      </w:r>
      <w:r w:rsidR="009B6782">
        <w:rPr>
          <w:rFonts w:ascii="Sylfaen" w:hAnsi="Sylfaen"/>
          <w:sz w:val="20"/>
          <w:lang w:val="ka-GE"/>
        </w:rPr>
        <w:t>ნ</w:t>
      </w:r>
      <w:r w:rsidR="00275053">
        <w:rPr>
          <w:rFonts w:ascii="Sylfaen" w:hAnsi="Sylfaen"/>
          <w:sz w:val="20"/>
          <w:lang w:val="ka-GE"/>
        </w:rPr>
        <w:t xml:space="preserve">ფლაციური </w:t>
      </w:r>
      <w:r w:rsidRPr="00DB10BC">
        <w:rPr>
          <w:rFonts w:ascii="Sylfaen" w:hAnsi="Sylfaen"/>
          <w:sz w:val="20"/>
        </w:rPr>
        <w:t>მდგომარეობ</w:t>
      </w:r>
      <w:r w:rsidR="00275053">
        <w:rPr>
          <w:rFonts w:ascii="Sylfaen" w:hAnsi="Sylfaen"/>
          <w:sz w:val="20"/>
          <w:lang w:val="ka-GE"/>
        </w:rPr>
        <w:t xml:space="preserve">ის გამო </w:t>
      </w:r>
      <w:r w:rsidRPr="00DB10BC">
        <w:rPr>
          <w:rFonts w:ascii="Sylfaen" w:hAnsi="Sylfaen"/>
          <w:sz w:val="20"/>
          <w:lang w:val="ka-GE"/>
        </w:rPr>
        <w:t>202</w:t>
      </w:r>
      <w:r w:rsidR="00275053">
        <w:rPr>
          <w:rFonts w:ascii="Sylfaen" w:hAnsi="Sylfaen"/>
          <w:sz w:val="20"/>
          <w:lang w:val="ka-GE"/>
        </w:rPr>
        <w:t>2</w:t>
      </w:r>
      <w:r w:rsidRPr="00DB10BC">
        <w:rPr>
          <w:rFonts w:ascii="Sylfaen" w:hAnsi="Sylfaen"/>
          <w:sz w:val="20"/>
          <w:lang w:val="ka-GE"/>
        </w:rPr>
        <w:t xml:space="preserve"> წელსაც </w:t>
      </w:r>
      <w:r w:rsidRPr="00DB10BC">
        <w:rPr>
          <w:rFonts w:ascii="Sylfaen" w:hAnsi="Sylfaen"/>
          <w:sz w:val="20"/>
        </w:rPr>
        <w:t xml:space="preserve">საჭირო გახდება მკაცრი </w:t>
      </w:r>
      <w:r w:rsidR="00275053">
        <w:rPr>
          <w:rFonts w:ascii="Sylfaen" w:hAnsi="Sylfaen"/>
          <w:sz w:val="20"/>
          <w:lang w:val="ka-GE"/>
        </w:rPr>
        <w:t xml:space="preserve">მონეტარული პოლიტიკის </w:t>
      </w:r>
      <w:r w:rsidRPr="00DB10BC">
        <w:rPr>
          <w:rFonts w:ascii="Sylfaen" w:hAnsi="Sylfaen"/>
          <w:sz w:val="20"/>
        </w:rPr>
        <w:t>შენარჩუნება</w:t>
      </w:r>
      <w:r w:rsidR="00275053">
        <w:rPr>
          <w:rFonts w:ascii="Sylfaen" w:hAnsi="Sylfaen"/>
          <w:sz w:val="20"/>
          <w:lang w:val="ka-GE"/>
        </w:rPr>
        <w:t xml:space="preserve"> და კიდევ უფრო</w:t>
      </w:r>
      <w:r w:rsidRPr="00DB10BC">
        <w:rPr>
          <w:rFonts w:ascii="Sylfaen" w:hAnsi="Sylfaen"/>
          <w:sz w:val="20"/>
        </w:rPr>
        <w:t xml:space="preserve"> გამკაცრება.</w:t>
      </w:r>
      <w:r>
        <w:rPr>
          <w:rFonts w:ascii="Sylfaen" w:hAnsi="Sylfaen"/>
          <w:sz w:val="20"/>
          <w:lang w:val="ka-GE"/>
        </w:rPr>
        <w:t xml:space="preserve"> </w:t>
      </w:r>
      <w:r w:rsidR="00911BD2">
        <w:rPr>
          <w:rFonts w:ascii="Sylfaen" w:hAnsi="Sylfaen"/>
          <w:sz w:val="20"/>
          <w:lang w:val="ka-GE"/>
        </w:rPr>
        <w:t>ამასთან, ნეგატიური სცენარი</w:t>
      </w:r>
      <w:r w:rsidR="003F0B3B">
        <w:rPr>
          <w:rFonts w:ascii="Sylfaen" w:hAnsi="Sylfaen"/>
          <w:sz w:val="20"/>
          <w:lang w:val="ka-GE"/>
        </w:rPr>
        <w:t>ს მიხედვით</w:t>
      </w:r>
      <w:r w:rsidR="00911BD2">
        <w:rPr>
          <w:rFonts w:ascii="Sylfaen" w:hAnsi="Sylfaen"/>
          <w:sz w:val="20"/>
          <w:lang w:val="ka-GE"/>
        </w:rPr>
        <w:t xml:space="preserve"> </w:t>
      </w:r>
      <w:r w:rsidR="003F0B3B">
        <w:rPr>
          <w:rFonts w:ascii="Sylfaen" w:hAnsi="Sylfaen"/>
          <w:sz w:val="20"/>
          <w:lang w:val="ka-GE"/>
        </w:rPr>
        <w:t xml:space="preserve">საბაზისოსთან შედარებით შესაძლოა შემციდეს საგადასახადო შემოსავლები, რაც გააუარესებს საოპერაციო ბალანსს თუმცა არაფინანსური აქტივების ხარჯზე, მოსალოდნელია რომ დეფიციტი მაინც დაუბრუნდება 3%-იან  ნიშნულს, ხოლო 2026 წლისათვის იგი 2.5% იქნება  </w:t>
      </w:r>
    </w:p>
    <w:p w:rsidR="00AF4337" w:rsidRDefault="00AF4337" w:rsidP="00544F05">
      <w:pPr>
        <w:spacing w:before="240" w:line="276" w:lineRule="auto"/>
        <w:rPr>
          <w:rFonts w:ascii="Sylfaen" w:hAnsi="Sylfaen"/>
          <w:lang w:val="ka-GE"/>
        </w:rPr>
      </w:pPr>
      <w:r w:rsidRPr="003B5120">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315D7DF" wp14:editId="38076446">
                <wp:simplePos x="0" y="0"/>
                <wp:positionH relativeFrom="column">
                  <wp:posOffset>226355</wp:posOffset>
                </wp:positionH>
                <wp:positionV relativeFrom="paragraph">
                  <wp:posOffset>320557</wp:posOffset>
                </wp:positionV>
                <wp:extent cx="3197860" cy="230886"/>
                <wp:effectExtent l="0" t="0" r="2540" b="0"/>
                <wp:wrapTopAndBottom/>
                <wp:docPr id="274" name="Text Box 274"/>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5D7DF" id="_x0000_t202" coordsize="21600,21600" o:spt="202" path="m,l,21600r21600,l21600,xe">
                <v:stroke joinstyle="miter"/>
                <v:path gradientshapeok="t" o:connecttype="rect"/>
              </v:shapetype>
              <v:shape id="Text Box 274" o:spid="_x0000_s1026" type="#_x0000_t202" style="position:absolute;margin-left:17.8pt;margin-top:25.25pt;width:251.8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" stroked="f">
                <v:textbox inset="0,0,0,0">
                  <w:txbxContent>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ascii="Sylfaen" w:hAnsi="Sylfaen" w:cstheme="minorHAnsi"/>
                          <w:i w:val="0"/>
                          <w:iCs w:val="0"/>
                          <w:lang w:val="ka-GE"/>
                        </w:rPr>
                        <w:t>7</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ნეგატიურ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r>
        <w:rPr>
          <w:rFonts w:ascii="Sylfaen" w:hAnsi="Sylfaen"/>
          <w:lang w:val="ka-GE"/>
        </w:rPr>
        <w:br/>
      </w:r>
      <w:r w:rsidR="000159BC">
        <w:rPr>
          <w:noProof/>
        </w:rPr>
        <w:drawing>
          <wp:inline distT="0" distB="0" distL="0" distR="0" wp14:anchorId="05E3A676" wp14:editId="0975AE40">
            <wp:extent cx="3379622" cy="2114093"/>
            <wp:effectExtent l="0" t="0" r="0" b="63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4337" w:rsidRDefault="00AF4337" w:rsidP="00544F05">
      <w:pPr>
        <w:spacing w:before="240" w:after="0" w:line="276" w:lineRule="auto"/>
        <w:ind w:firstLine="540"/>
        <w:jc w:val="both"/>
        <w:rPr>
          <w:rFonts w:ascii="Sylfaen" w:hAnsi="Sylfaen" w:cs="Segoe UI"/>
          <w:sz w:val="20"/>
          <w:szCs w:val="20"/>
          <w:lang w:val="ka-GE"/>
        </w:rPr>
      </w:pPr>
    </w:p>
    <w:p w:rsidR="009D7FAF" w:rsidRDefault="009D7FAF" w:rsidP="00544F05">
      <w:pPr>
        <w:spacing w:before="240" w:after="0" w:line="276" w:lineRule="auto"/>
        <w:ind w:firstLine="540"/>
        <w:jc w:val="both"/>
        <w:rPr>
          <w:rFonts w:ascii="Sylfaen" w:hAnsi="Sylfaen" w:cs="Segoe UI"/>
          <w:sz w:val="20"/>
          <w:szCs w:val="20"/>
          <w:lang w:val="ka-GE"/>
        </w:rPr>
      </w:pPr>
    </w:p>
    <w:p w:rsidR="00AF4337" w:rsidRPr="006A04A6" w:rsidRDefault="00AF4337" w:rsidP="00544F05">
      <w:pPr>
        <w:pStyle w:val="Heading2"/>
        <w:spacing w:before="240" w:line="276" w:lineRule="auto"/>
        <w:rPr>
          <w:lang w:val="en-US"/>
        </w:rPr>
      </w:pPr>
      <w:r>
        <w:rPr>
          <w:lang w:val="en-US"/>
        </w:rPr>
        <w:t xml:space="preserve"> </w:t>
      </w:r>
      <w:r w:rsidRPr="006A04A6">
        <w:rPr>
          <w:lang w:val="en-US"/>
        </w:rPr>
        <w:t>პოზიტიური სცენარი</w:t>
      </w:r>
    </w:p>
    <w:p w:rsidR="000159BC" w:rsidRPr="0003218A" w:rsidRDefault="00AF4337" w:rsidP="000159BC">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პოზიტიური </w:t>
      </w:r>
      <w:r w:rsidRPr="00194344">
        <w:rPr>
          <w:rFonts w:ascii="Sylfaen" w:hAnsi="Sylfaen" w:cs="Segoe UI"/>
          <w:sz w:val="20"/>
          <w:szCs w:val="20"/>
          <w:lang w:val="ka-GE"/>
        </w:rPr>
        <w:t>სცენარის მიხედვით, მე</w:t>
      </w:r>
      <w:r>
        <w:rPr>
          <w:rFonts w:ascii="Sylfaen" w:hAnsi="Sylfaen" w:cs="Segoe UI"/>
          <w:sz w:val="20"/>
          <w:szCs w:val="20"/>
          <w:lang w:val="ka-GE"/>
        </w:rPr>
        <w:t>ოთხე</w:t>
      </w:r>
      <w:r w:rsidRPr="00194344">
        <w:rPr>
          <w:rFonts w:ascii="Sylfaen" w:hAnsi="Sylfaen" w:cs="Segoe UI"/>
          <w:sz w:val="20"/>
          <w:szCs w:val="20"/>
          <w:lang w:val="ka-GE"/>
        </w:rPr>
        <w:t xml:space="preserve"> თავში აღნიშნული გეოპოლიტიკური და რეგიონუ</w:t>
      </w:r>
      <w:r w:rsidR="00856D96">
        <w:rPr>
          <w:rFonts w:ascii="Sylfaen" w:hAnsi="Sylfaen" w:cs="Segoe UI"/>
          <w:sz w:val="20"/>
          <w:szCs w:val="20"/>
          <w:lang w:val="ka-GE"/>
        </w:rPr>
        <w:t>ლ</w:t>
      </w:r>
      <w:r w:rsidRPr="00194344">
        <w:rPr>
          <w:rFonts w:ascii="Sylfaen" w:hAnsi="Sylfaen" w:cs="Segoe UI"/>
          <w:sz w:val="20"/>
          <w:szCs w:val="20"/>
          <w:lang w:val="ka-GE"/>
        </w:rPr>
        <w:t xml:space="preserve">ი რისკები დამატებით არ მატერიალიზდება. </w:t>
      </w:r>
      <w:r w:rsidR="008566B7">
        <w:rPr>
          <w:rFonts w:ascii="Sylfaen" w:hAnsi="Sylfaen" w:cs="Segoe UI"/>
          <w:sz w:val="20"/>
          <w:szCs w:val="20"/>
          <w:lang w:val="ka-GE"/>
        </w:rPr>
        <w:t xml:space="preserve">ამასთან, გაგრძელდება გაუმჯობესებული ეკონომიკური აქტივობა და ტურიზმი გააგრძელებს </w:t>
      </w:r>
      <w:r w:rsidR="00A10593">
        <w:rPr>
          <w:rFonts w:ascii="Sylfaen" w:hAnsi="Sylfaen" w:cs="Segoe UI"/>
          <w:sz w:val="20"/>
          <w:szCs w:val="20"/>
          <w:lang w:val="ka-GE"/>
        </w:rPr>
        <w:t>ზრდის არნიშნულ ტემპს</w:t>
      </w:r>
      <w:r w:rsidRPr="00194344">
        <w:rPr>
          <w:rFonts w:ascii="Sylfaen" w:hAnsi="Sylfaen" w:cs="Segoe UI"/>
          <w:sz w:val="20"/>
          <w:szCs w:val="20"/>
          <w:lang w:val="ka-GE"/>
        </w:rPr>
        <w:t xml:space="preserve">. </w:t>
      </w:r>
      <w:r w:rsidR="000159BC" w:rsidRPr="00194344">
        <w:rPr>
          <w:rFonts w:ascii="Sylfaen" w:hAnsi="Sylfaen" w:cs="Segoe UI"/>
          <w:sz w:val="20"/>
          <w:szCs w:val="20"/>
          <w:lang w:val="ka-GE"/>
        </w:rPr>
        <w:t>ასეთ სცენარში</w:t>
      </w:r>
      <w:r w:rsidR="000159BC">
        <w:rPr>
          <w:rFonts w:ascii="Sylfaen" w:hAnsi="Sylfaen" w:cs="Segoe UI"/>
          <w:sz w:val="20"/>
          <w:szCs w:val="20"/>
          <w:lang w:val="ka-GE"/>
        </w:rPr>
        <w:t>, 2022 წლის</w:t>
      </w:r>
      <w:r w:rsidR="000159BC" w:rsidRPr="00194344">
        <w:rPr>
          <w:rFonts w:ascii="Sylfaen" w:hAnsi="Sylfaen" w:cs="Segoe UI"/>
          <w:sz w:val="20"/>
          <w:szCs w:val="20"/>
          <w:lang w:val="ka-GE"/>
        </w:rPr>
        <w:t xml:space="preserve"> ეკონ</w:t>
      </w:r>
      <w:r w:rsidR="000159BC">
        <w:rPr>
          <w:rFonts w:ascii="Sylfaen" w:hAnsi="Sylfaen" w:cs="Segoe UI"/>
          <w:sz w:val="20"/>
          <w:szCs w:val="20"/>
          <w:lang w:val="ka-GE"/>
        </w:rPr>
        <w:t>ო</w:t>
      </w:r>
      <w:r w:rsidR="000159BC" w:rsidRPr="00194344">
        <w:rPr>
          <w:rFonts w:ascii="Sylfaen" w:hAnsi="Sylfaen" w:cs="Segoe UI"/>
          <w:sz w:val="20"/>
          <w:szCs w:val="20"/>
          <w:lang w:val="ka-GE"/>
        </w:rPr>
        <w:t xml:space="preserve">მიკური </w:t>
      </w:r>
      <w:r w:rsidR="000159BC">
        <w:rPr>
          <w:rFonts w:ascii="Sylfaen" w:hAnsi="Sylfaen" w:cs="Segoe UI"/>
          <w:sz w:val="20"/>
          <w:szCs w:val="20"/>
          <w:lang w:val="ka-GE"/>
        </w:rPr>
        <w:t>ზრდა</w:t>
      </w:r>
      <w:r w:rsidR="000159BC" w:rsidRPr="00194344">
        <w:rPr>
          <w:rFonts w:ascii="Sylfaen" w:hAnsi="Sylfaen" w:cs="Segoe UI"/>
          <w:sz w:val="20"/>
          <w:szCs w:val="20"/>
          <w:lang w:val="ka-GE"/>
        </w:rPr>
        <w:t xml:space="preserve"> </w:t>
      </w:r>
      <w:r w:rsidR="00856D96">
        <w:rPr>
          <w:rFonts w:ascii="Sylfaen" w:hAnsi="Sylfaen" w:cs="Segoe UI"/>
          <w:sz w:val="20"/>
          <w:szCs w:val="20"/>
          <w:lang w:val="ka-GE"/>
        </w:rPr>
        <w:t>10.6</w:t>
      </w:r>
      <w:r w:rsidR="000159BC">
        <w:rPr>
          <w:rFonts w:ascii="Sylfaen" w:hAnsi="Sylfaen" w:cs="Segoe UI"/>
          <w:sz w:val="20"/>
          <w:szCs w:val="20"/>
          <w:lang w:val="ka-GE"/>
        </w:rPr>
        <w:t>%-</w:t>
      </w:r>
      <w:r w:rsidR="000159BC" w:rsidRPr="00194344">
        <w:rPr>
          <w:rFonts w:ascii="Sylfaen" w:hAnsi="Sylfaen" w:cs="Segoe UI"/>
          <w:sz w:val="20"/>
          <w:szCs w:val="20"/>
          <w:lang w:val="ka-GE"/>
        </w:rPr>
        <w:t>ს შეადგენს</w:t>
      </w:r>
      <w:r w:rsidR="000159BC">
        <w:rPr>
          <w:rFonts w:ascii="Sylfaen" w:hAnsi="Sylfaen" w:cs="Segoe UI"/>
          <w:sz w:val="20"/>
          <w:szCs w:val="20"/>
          <w:lang w:val="ka-GE"/>
        </w:rPr>
        <w:t xml:space="preserve">, ხოლო 2023 წელს </w:t>
      </w:r>
      <w:r w:rsidR="00856D96">
        <w:rPr>
          <w:rFonts w:ascii="Sylfaen" w:hAnsi="Sylfaen" w:cs="Segoe UI"/>
          <w:sz w:val="20"/>
          <w:szCs w:val="20"/>
          <w:lang w:val="ka-GE"/>
        </w:rPr>
        <w:t>6.3</w:t>
      </w:r>
      <w:r w:rsidR="000159BC">
        <w:rPr>
          <w:rFonts w:ascii="Sylfaen" w:hAnsi="Sylfaen" w:cs="Segoe UI"/>
          <w:sz w:val="20"/>
          <w:szCs w:val="20"/>
          <w:lang w:val="ka-GE"/>
        </w:rPr>
        <w:t xml:space="preserve">%-იანი ზრდა </w:t>
      </w:r>
      <w:r w:rsidR="000D0826">
        <w:rPr>
          <w:rFonts w:ascii="Sylfaen" w:hAnsi="Sylfaen" w:cs="Segoe UI"/>
          <w:sz w:val="20"/>
          <w:szCs w:val="20"/>
          <w:lang w:val="ka-GE"/>
        </w:rPr>
        <w:t>დაფიქსირდება</w:t>
      </w:r>
      <w:r w:rsidR="000159BC">
        <w:rPr>
          <w:rFonts w:ascii="Sylfaen" w:hAnsi="Sylfaen" w:cs="Segoe UI"/>
          <w:sz w:val="20"/>
          <w:szCs w:val="20"/>
          <w:lang w:val="ka-GE"/>
        </w:rPr>
        <w:t>. რაც შეეხება საშუალოვადიან პერიოდს, 2023-2026</w:t>
      </w:r>
      <w:r w:rsidR="000159BC" w:rsidRPr="00194344">
        <w:rPr>
          <w:rFonts w:ascii="Sylfaen" w:hAnsi="Sylfaen" w:cs="Segoe UI"/>
          <w:sz w:val="20"/>
          <w:szCs w:val="20"/>
          <w:lang w:val="ka-GE"/>
        </w:rPr>
        <w:t xml:space="preserve"> წლებში </w:t>
      </w:r>
      <w:r w:rsidR="000159BC">
        <w:rPr>
          <w:rFonts w:ascii="Sylfaen" w:hAnsi="Sylfaen" w:cs="Segoe UI"/>
          <w:sz w:val="20"/>
          <w:szCs w:val="20"/>
          <w:lang w:val="ka-GE"/>
        </w:rPr>
        <w:t xml:space="preserve">ზრდა </w:t>
      </w:r>
      <w:r w:rsidR="000159BC" w:rsidRPr="00194344">
        <w:rPr>
          <w:rFonts w:ascii="Sylfaen" w:hAnsi="Sylfaen" w:cs="Segoe UI"/>
          <w:sz w:val="20"/>
          <w:szCs w:val="20"/>
          <w:lang w:val="ka-GE"/>
        </w:rPr>
        <w:t xml:space="preserve">საშუალოდ </w:t>
      </w:r>
      <w:r w:rsidR="00856D96">
        <w:rPr>
          <w:rFonts w:ascii="Sylfaen" w:hAnsi="Sylfaen" w:cs="Segoe UI"/>
          <w:sz w:val="20"/>
          <w:szCs w:val="20"/>
          <w:lang w:val="ka-GE"/>
        </w:rPr>
        <w:t>6.4</w:t>
      </w:r>
      <w:r w:rsidR="000159BC">
        <w:rPr>
          <w:rFonts w:ascii="Sylfaen" w:hAnsi="Sylfaen" w:cs="Segoe UI"/>
          <w:sz w:val="20"/>
          <w:szCs w:val="20"/>
          <w:lang w:val="ka-GE"/>
        </w:rPr>
        <w:t>%-</w:t>
      </w:r>
      <w:r w:rsidR="000159BC" w:rsidRPr="0003218A">
        <w:rPr>
          <w:rFonts w:ascii="Sylfaen" w:hAnsi="Sylfaen" w:cs="Segoe UI"/>
          <w:sz w:val="20"/>
          <w:szCs w:val="20"/>
          <w:lang w:val="ka-GE"/>
        </w:rPr>
        <w:t>ს</w:t>
      </w:r>
      <w:r w:rsidR="000159BC">
        <w:rPr>
          <w:rFonts w:ascii="Sylfaen" w:hAnsi="Sylfaen" w:cs="Segoe UI"/>
          <w:sz w:val="20"/>
          <w:szCs w:val="20"/>
          <w:lang w:val="ka-GE"/>
        </w:rPr>
        <w:t xml:space="preserve"> შეადგენს</w:t>
      </w:r>
      <w:r w:rsidR="000159BC" w:rsidRPr="0003218A">
        <w:rPr>
          <w:rFonts w:ascii="Sylfaen" w:hAnsi="Sylfaen" w:cs="Segoe UI"/>
          <w:sz w:val="20"/>
          <w:szCs w:val="20"/>
          <w:lang w:val="ka-GE"/>
        </w:rPr>
        <w:t xml:space="preserve">. </w:t>
      </w:r>
    </w:p>
    <w:p w:rsidR="00AF4337" w:rsidRPr="00911BD2" w:rsidRDefault="00AF4337" w:rsidP="000D0826">
      <w:pPr>
        <w:spacing w:before="240" w:after="0" w:line="276" w:lineRule="auto"/>
        <w:ind w:firstLine="540"/>
        <w:jc w:val="both"/>
        <w:rPr>
          <w:rFonts w:ascii="Sylfaen" w:hAnsi="Sylfaen" w:cs="Segoe UI"/>
          <w:sz w:val="20"/>
          <w:szCs w:val="20"/>
          <w:lang w:val="ka-GE"/>
        </w:rPr>
      </w:pPr>
      <w:r w:rsidRPr="0003218A">
        <w:rPr>
          <w:rFonts w:ascii="Sylfaen" w:hAnsi="Sylfaen" w:cs="Segoe UI"/>
          <w:sz w:val="20"/>
          <w:szCs w:val="20"/>
          <w:lang w:val="ka-GE"/>
        </w:rPr>
        <w:t xml:space="preserve">ოპტიმისტური სცენარის მიხედვით, </w:t>
      </w:r>
      <w:r w:rsidR="008566B7">
        <w:rPr>
          <w:rFonts w:ascii="Sylfaen" w:hAnsi="Sylfaen" w:cs="Segoe UI"/>
          <w:sz w:val="20"/>
          <w:szCs w:val="20"/>
          <w:lang w:val="ka-GE"/>
        </w:rPr>
        <w:t>მიმდინარე ომის შედეგები საქართველოზე ნაკლებად აისახება</w:t>
      </w:r>
      <w:r w:rsidR="000159BC">
        <w:rPr>
          <w:rFonts w:ascii="Sylfaen" w:hAnsi="Sylfaen" w:cs="Segoe UI"/>
          <w:sz w:val="20"/>
          <w:szCs w:val="20"/>
          <w:lang w:val="ka-GE"/>
        </w:rPr>
        <w:t>, თუმცა</w:t>
      </w:r>
      <w:r w:rsidR="008566B7">
        <w:rPr>
          <w:rFonts w:ascii="Sylfaen" w:hAnsi="Sylfaen" w:cs="Segoe UI"/>
          <w:sz w:val="20"/>
          <w:szCs w:val="20"/>
          <w:lang w:val="ka-GE"/>
        </w:rPr>
        <w:t xml:space="preserve"> საშუალოვადიან პერიოდში ნავთობზე გაზრდილი ფასების გამო ინფლაცია</w:t>
      </w:r>
      <w:r w:rsidR="000159BC">
        <w:rPr>
          <w:rFonts w:ascii="Sylfaen" w:hAnsi="Sylfaen" w:cs="Segoe UI"/>
          <w:sz w:val="20"/>
          <w:szCs w:val="20"/>
          <w:lang w:val="ka-GE"/>
        </w:rPr>
        <w:t xml:space="preserve"> კვლავ</w:t>
      </w:r>
      <w:r w:rsidR="008566B7">
        <w:rPr>
          <w:rFonts w:ascii="Sylfaen" w:hAnsi="Sylfaen" w:cs="Segoe UI"/>
          <w:sz w:val="20"/>
          <w:szCs w:val="20"/>
          <w:lang w:val="ka-GE"/>
        </w:rPr>
        <w:t xml:space="preserve"> მიზნობრივ დონე</w:t>
      </w:r>
      <w:r w:rsidR="000159BC">
        <w:rPr>
          <w:rFonts w:ascii="Sylfaen" w:hAnsi="Sylfaen" w:cs="Segoe UI"/>
          <w:sz w:val="20"/>
          <w:szCs w:val="20"/>
          <w:lang w:val="ka-GE"/>
        </w:rPr>
        <w:t>ზე მაღლა შენარჩუნდება</w:t>
      </w:r>
      <w:r w:rsidR="008566B7">
        <w:rPr>
          <w:rFonts w:ascii="Sylfaen" w:hAnsi="Sylfaen" w:cs="Segoe UI"/>
          <w:sz w:val="20"/>
          <w:szCs w:val="20"/>
          <w:lang w:val="ka-GE"/>
        </w:rPr>
        <w:t xml:space="preserve">. ამასთან, გაუმჯობესებულია საგადასახადო შემოსავლები. </w:t>
      </w:r>
      <w:r w:rsidR="00911BD2">
        <w:rPr>
          <w:rFonts w:ascii="Sylfaen" w:hAnsi="Sylfaen" w:cs="Segoe UI"/>
          <w:sz w:val="20"/>
          <w:szCs w:val="20"/>
          <w:lang w:val="ka-GE"/>
        </w:rPr>
        <w:t xml:space="preserve">ოპტიმისტური სცენარით, </w:t>
      </w:r>
      <w:r w:rsidR="00A10593">
        <w:rPr>
          <w:rFonts w:ascii="Sylfaen" w:hAnsi="Sylfaen" w:cs="Segoe UI"/>
          <w:sz w:val="20"/>
          <w:szCs w:val="20"/>
          <w:lang w:val="ka-GE"/>
        </w:rPr>
        <w:t xml:space="preserve">გაზრდილი საბიუჯეტო შემოსავლების პარალელურად არ იზრდება ხარჯები, </w:t>
      </w:r>
      <w:r w:rsidR="00911BD2">
        <w:rPr>
          <w:rFonts w:ascii="Sylfaen" w:hAnsi="Sylfaen" w:cs="Segoe UI"/>
          <w:sz w:val="20"/>
          <w:szCs w:val="20"/>
          <w:lang w:val="ka-GE"/>
        </w:rPr>
        <w:t xml:space="preserve">ბიუჯეტის დეფიციტი 2023 წელს </w:t>
      </w:r>
      <w:r w:rsidR="00856D96">
        <w:rPr>
          <w:rFonts w:ascii="Sylfaen" w:hAnsi="Sylfaen" w:cs="Segoe UI"/>
          <w:sz w:val="20"/>
          <w:szCs w:val="20"/>
          <w:lang w:val="ka-GE"/>
        </w:rPr>
        <w:t>2.</w:t>
      </w:r>
      <w:r w:rsidR="00F7291C">
        <w:rPr>
          <w:rFonts w:ascii="Sylfaen" w:hAnsi="Sylfaen" w:cs="Segoe UI"/>
          <w:sz w:val="20"/>
          <w:szCs w:val="20"/>
          <w:lang w:val="ka-GE"/>
        </w:rPr>
        <w:t>1</w:t>
      </w:r>
      <w:r w:rsidR="00A10593">
        <w:rPr>
          <w:rFonts w:ascii="Sylfaen" w:hAnsi="Sylfaen" w:cs="Segoe UI"/>
          <w:sz w:val="20"/>
          <w:szCs w:val="20"/>
          <w:lang w:val="ka-GE"/>
        </w:rPr>
        <w:t>%-ს გა</w:t>
      </w:r>
      <w:r w:rsidR="00140EF4">
        <w:rPr>
          <w:rFonts w:ascii="Sylfaen" w:hAnsi="Sylfaen" w:cs="Segoe UI"/>
          <w:sz w:val="20"/>
          <w:szCs w:val="20"/>
          <w:lang w:val="ka-GE"/>
        </w:rPr>
        <w:t>უ</w:t>
      </w:r>
      <w:r w:rsidR="00A10593">
        <w:rPr>
          <w:rFonts w:ascii="Sylfaen" w:hAnsi="Sylfaen" w:cs="Segoe UI"/>
          <w:sz w:val="20"/>
          <w:szCs w:val="20"/>
          <w:lang w:val="ka-GE"/>
        </w:rPr>
        <w:t xml:space="preserve">ტოლდება </w:t>
      </w:r>
      <w:r w:rsidR="00911BD2">
        <w:rPr>
          <w:rFonts w:ascii="Sylfaen" w:hAnsi="Sylfaen" w:cs="Segoe UI"/>
          <w:sz w:val="20"/>
          <w:szCs w:val="20"/>
          <w:lang w:val="ka-GE"/>
        </w:rPr>
        <w:t xml:space="preserve">და 2026 წლისთვის </w:t>
      </w:r>
      <w:r w:rsidR="00856D96">
        <w:rPr>
          <w:rFonts w:ascii="Sylfaen" w:hAnsi="Sylfaen" w:cs="Segoe UI"/>
          <w:sz w:val="20"/>
          <w:szCs w:val="20"/>
          <w:lang w:val="ka-GE"/>
        </w:rPr>
        <w:t>0.1</w:t>
      </w:r>
      <w:r w:rsidR="00A10593">
        <w:rPr>
          <w:rFonts w:ascii="Sylfaen" w:hAnsi="Sylfaen" w:cs="Segoe UI"/>
          <w:sz w:val="20"/>
          <w:szCs w:val="20"/>
          <w:lang w:val="ka-GE"/>
        </w:rPr>
        <w:t>%-მდე</w:t>
      </w:r>
      <w:r w:rsidR="00911BD2">
        <w:rPr>
          <w:rFonts w:ascii="Sylfaen" w:hAnsi="Sylfaen" w:cs="Segoe UI"/>
          <w:sz w:val="20"/>
          <w:szCs w:val="20"/>
          <w:lang w:val="ka-GE"/>
        </w:rPr>
        <w:t xml:space="preserve"> ჩამოვა. ამასთან, გაუმჯობესებული ეკონომიკური აქტივობა ხელს შეუწყობს ბიუჯეტის შემოსავლების ზრდასაც, რაც მშპ-ს </w:t>
      </w:r>
      <w:r w:rsidR="00856D96">
        <w:rPr>
          <w:rFonts w:ascii="Sylfaen" w:hAnsi="Sylfaen" w:cs="Segoe UI"/>
          <w:sz w:val="20"/>
          <w:szCs w:val="20"/>
          <w:lang w:val="ka-GE"/>
        </w:rPr>
        <w:t>26.5</w:t>
      </w:r>
      <w:r w:rsidR="00911BD2">
        <w:rPr>
          <w:rFonts w:ascii="Sylfaen" w:hAnsi="Sylfaen" w:cs="Segoe UI"/>
          <w:sz w:val="20"/>
          <w:szCs w:val="20"/>
          <w:lang w:val="ka-GE"/>
        </w:rPr>
        <w:t xml:space="preserve"> პროცენტი იქნება. </w:t>
      </w:r>
    </w:p>
    <w:p w:rsidR="009D7FAF" w:rsidRDefault="009D7FAF" w:rsidP="00544F05">
      <w:pPr>
        <w:spacing w:before="240" w:after="0" w:line="276" w:lineRule="auto"/>
        <w:jc w:val="both"/>
        <w:rPr>
          <w:rFonts w:ascii="Sylfaen" w:hAnsi="Sylfaen" w:cs="Segoe UI"/>
          <w:sz w:val="20"/>
          <w:szCs w:val="20"/>
          <w:lang w:val="ka-GE"/>
        </w:rPr>
      </w:pPr>
    </w:p>
    <w:p w:rsidR="009D7FAF" w:rsidRDefault="009D7FAF" w:rsidP="00544F05">
      <w:pPr>
        <w:spacing w:before="240" w:after="0" w:line="276" w:lineRule="auto"/>
        <w:jc w:val="both"/>
        <w:rPr>
          <w:rFonts w:ascii="Sylfaen" w:hAnsi="Sylfaen" w:cs="Segoe UI"/>
          <w:sz w:val="20"/>
          <w:szCs w:val="20"/>
          <w:lang w:val="ka-GE"/>
        </w:rPr>
      </w:pPr>
    </w:p>
    <w:p w:rsidR="00AF4337" w:rsidRDefault="00AF4337" w:rsidP="00544F05">
      <w:pPr>
        <w:spacing w:before="240" w:after="0" w:line="276" w:lineRule="auto"/>
        <w:jc w:val="both"/>
        <w:rPr>
          <w:rFonts w:ascii="Sylfaen" w:hAnsi="Sylfaen" w:cs="Segoe UI"/>
          <w:sz w:val="20"/>
          <w:szCs w:val="20"/>
          <w:lang w:val="ka-GE"/>
        </w:rPr>
      </w:pPr>
      <w:r w:rsidRPr="003B512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2C78E6D3" wp14:editId="353BE885">
                <wp:simplePos x="0" y="0"/>
                <wp:positionH relativeFrom="column">
                  <wp:posOffset>85725</wp:posOffset>
                </wp:positionH>
                <wp:positionV relativeFrom="paragraph">
                  <wp:posOffset>457200</wp:posOffset>
                </wp:positionV>
                <wp:extent cx="3197860" cy="230886"/>
                <wp:effectExtent l="0" t="0" r="2540" b="0"/>
                <wp:wrapTopAndBottom/>
                <wp:docPr id="12" name="Text Box 1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E6D3" id="Text Box 12" o:spid="_x0000_s1027" type="#_x0000_t202" style="position:absolute;left:0;text-align:left;margin-left:6.75pt;margin-top:36pt;width:251.8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xCLw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" stroked="f">
                <v:textbox inset="0,0,0,0">
                  <w:txbxContent>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8</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ეკონომიკური</w:t>
                      </w:r>
                      <w:r w:rsidRPr="00F23CB8">
                        <w:rPr>
                          <w:rFonts w:cstheme="minorHAnsi"/>
                          <w:i w:val="0"/>
                          <w:iCs w:val="0"/>
                          <w:lang w:val="ka-GE"/>
                        </w:rPr>
                        <w:t xml:space="preserve"> </w:t>
                      </w:r>
                      <w:r w:rsidRPr="00F23CB8">
                        <w:rPr>
                          <w:rFonts w:ascii="Sylfaen" w:hAnsi="Sylfaen" w:cs="Sylfaen"/>
                          <w:i w:val="0"/>
                          <w:iCs w:val="0"/>
                          <w:lang w:val="ka-GE"/>
                        </w:rPr>
                        <w:t>ზრდა</w:t>
                      </w:r>
                      <w:r w:rsidRPr="00F23CB8">
                        <w:rPr>
                          <w:rFonts w:cstheme="minorHAnsi"/>
                          <w:i w:val="0"/>
                          <w:iCs w:val="0"/>
                          <w:lang w:val="ka-GE"/>
                        </w:rPr>
                        <w:t xml:space="preserve"> </w:t>
                      </w:r>
                      <w:r w:rsidRPr="00F23CB8">
                        <w:rPr>
                          <w:rFonts w:ascii="Sylfaen" w:hAnsi="Sylfaen" w:cs="Sylfaen"/>
                          <w:i w:val="0"/>
                          <w:iCs w:val="0"/>
                          <w:lang w:val="ka-GE"/>
                        </w:rPr>
                        <w:t>პოზიტიურ</w:t>
                      </w:r>
                      <w:r w:rsidRPr="00F23CB8">
                        <w:rPr>
                          <w:rFonts w:cstheme="minorHAnsi"/>
                          <w:i w:val="0"/>
                          <w:iCs w:val="0"/>
                          <w:lang w:val="ka-GE"/>
                        </w:rPr>
                        <w:t xml:space="preserve"> </w:t>
                      </w:r>
                      <w:r w:rsidRPr="00F23CB8">
                        <w:rPr>
                          <w:rFonts w:ascii="Sylfaen" w:hAnsi="Sylfaen" w:cs="Sylfaen"/>
                          <w:i w:val="0"/>
                          <w:iCs w:val="0"/>
                          <w:lang w:val="ka-GE"/>
                        </w:rPr>
                        <w:t>სცენარში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912D9E" w:rsidRDefault="000159BC" w:rsidP="00544F05">
      <w:pPr>
        <w:spacing w:before="240" w:after="0" w:line="276" w:lineRule="auto"/>
        <w:jc w:val="both"/>
        <w:rPr>
          <w:rFonts w:ascii="Sylfaen" w:hAnsi="Sylfaen" w:cs="Segoe UI"/>
          <w:sz w:val="20"/>
          <w:szCs w:val="20"/>
          <w:lang w:val="ka-GE"/>
        </w:rPr>
      </w:pPr>
      <w:r>
        <w:rPr>
          <w:noProof/>
        </w:rPr>
        <w:drawing>
          <wp:inline distT="0" distB="0" distL="0" distR="0" wp14:anchorId="1DD0E4D6" wp14:editId="71E79A6A">
            <wp:extent cx="3584448" cy="2223820"/>
            <wp:effectExtent l="0" t="0" r="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2D9E" w:rsidRDefault="00912D9E" w:rsidP="00544F05">
      <w:pPr>
        <w:spacing w:before="240" w:after="0" w:line="276" w:lineRule="auto"/>
        <w:jc w:val="both"/>
        <w:rPr>
          <w:rFonts w:ascii="Sylfaen" w:hAnsi="Sylfaen" w:cs="Segoe UI"/>
          <w:sz w:val="20"/>
          <w:szCs w:val="20"/>
          <w:lang w:val="ka-GE"/>
        </w:rPr>
      </w:pPr>
    </w:p>
    <w:p w:rsidR="00912D9E" w:rsidRPr="00194344" w:rsidRDefault="00912D9E" w:rsidP="00544F05">
      <w:pPr>
        <w:spacing w:before="240" w:after="0" w:line="276" w:lineRule="auto"/>
        <w:jc w:val="both"/>
        <w:rPr>
          <w:rFonts w:ascii="Sylfaen" w:hAnsi="Sylfaen" w:cs="Segoe UI"/>
          <w:sz w:val="20"/>
          <w:szCs w:val="20"/>
          <w:lang w:val="ka-GE"/>
        </w:rPr>
      </w:pPr>
    </w:p>
    <w:p w:rsidR="00AF4337" w:rsidRPr="006A04A6" w:rsidRDefault="00AF4337" w:rsidP="00544F05">
      <w:pPr>
        <w:pStyle w:val="Heading2"/>
        <w:spacing w:before="240" w:line="276" w:lineRule="auto"/>
        <w:rPr>
          <w:lang w:val="en-US"/>
        </w:rPr>
      </w:pPr>
      <w:r>
        <w:t xml:space="preserve"> </w:t>
      </w:r>
      <w:r w:rsidRPr="006A04A6">
        <w:rPr>
          <w:lang w:val="en-US"/>
        </w:rPr>
        <w:t>ეკონომიკის აღდგენის პერსპექტივები სცენარების მიხედვით</w:t>
      </w:r>
    </w:p>
    <w:p w:rsidR="00AF4337" w:rsidRDefault="00AF4337" w:rsidP="00544F05">
      <w:pPr>
        <w:spacing w:before="240" w:after="0" w:line="276" w:lineRule="auto"/>
        <w:ind w:firstLine="540"/>
        <w:jc w:val="both"/>
        <w:rPr>
          <w:rFonts w:ascii="Sylfaen" w:hAnsi="Sylfaen" w:cs="Segoe UI"/>
          <w:sz w:val="20"/>
          <w:szCs w:val="20"/>
          <w:lang w:val="ka-GE"/>
        </w:rPr>
      </w:pPr>
      <w:r w:rsidRPr="00194344">
        <w:rPr>
          <w:rFonts w:ascii="Sylfaen" w:hAnsi="Sylfaen" w:cs="Segoe UI"/>
          <w:sz w:val="20"/>
          <w:szCs w:val="20"/>
          <w:lang w:val="ka-GE"/>
        </w:rPr>
        <w:t xml:space="preserve">საბაზისო სცენარში ეკონომიკა </w:t>
      </w:r>
      <w:r w:rsidR="00A10593">
        <w:rPr>
          <w:rFonts w:ascii="Sylfaen" w:hAnsi="Sylfaen" w:cs="Segoe UI"/>
          <w:sz w:val="20"/>
          <w:szCs w:val="20"/>
          <w:lang w:val="ka-GE"/>
        </w:rPr>
        <w:t xml:space="preserve">უკვე </w:t>
      </w:r>
      <w:r w:rsidR="00FA23BD" w:rsidRPr="00194344">
        <w:rPr>
          <w:rFonts w:ascii="Sylfaen" w:hAnsi="Sylfaen" w:cs="Segoe UI"/>
          <w:sz w:val="20"/>
          <w:szCs w:val="20"/>
          <w:lang w:val="ka-GE"/>
        </w:rPr>
        <w:t>202</w:t>
      </w:r>
      <w:r w:rsidR="00A10593">
        <w:rPr>
          <w:rFonts w:ascii="Sylfaen" w:hAnsi="Sylfaen" w:cs="Segoe UI"/>
          <w:sz w:val="20"/>
          <w:szCs w:val="20"/>
          <w:lang w:val="ka-GE"/>
        </w:rPr>
        <w:t>3</w:t>
      </w:r>
      <w:r w:rsidR="00FA23BD" w:rsidRPr="00194344">
        <w:rPr>
          <w:rFonts w:ascii="Sylfaen" w:hAnsi="Sylfaen" w:cs="Segoe UI"/>
          <w:sz w:val="20"/>
          <w:szCs w:val="20"/>
          <w:lang w:val="ka-GE"/>
        </w:rPr>
        <w:t xml:space="preserve"> წლისათვის </w:t>
      </w:r>
      <w:r w:rsidRPr="00194344">
        <w:rPr>
          <w:rFonts w:ascii="Sylfaen" w:hAnsi="Sylfaen" w:cs="Segoe UI"/>
          <w:sz w:val="20"/>
          <w:szCs w:val="20"/>
          <w:lang w:val="ka-GE"/>
        </w:rPr>
        <w:t xml:space="preserve">ახერხებს 2020 წლის დანაკარგის </w:t>
      </w:r>
      <w:r w:rsidR="00F462D8">
        <w:rPr>
          <w:rFonts w:ascii="Sylfaen" w:hAnsi="Sylfaen" w:cs="Segoe UI"/>
          <w:sz w:val="20"/>
          <w:szCs w:val="20"/>
          <w:lang w:val="ka-GE"/>
        </w:rPr>
        <w:t xml:space="preserve"> სრულად აღდგენას.</w:t>
      </w:r>
      <w:r w:rsidRPr="00912D9E">
        <w:rPr>
          <w:rFonts w:ascii="Sylfaen" w:hAnsi="Sylfaen" w:cs="Segoe UI"/>
          <w:sz w:val="20"/>
          <w:szCs w:val="20"/>
          <w:lang w:val="ka-GE"/>
        </w:rPr>
        <w:t xml:space="preserve"> </w:t>
      </w:r>
      <w:r w:rsidR="00A10593">
        <w:rPr>
          <w:rFonts w:ascii="Sylfaen" w:hAnsi="Sylfaen" w:cs="Segoe UI"/>
          <w:sz w:val="20"/>
          <w:szCs w:val="20"/>
          <w:lang w:val="ka-GE"/>
        </w:rPr>
        <w:t>2026 წლისათვის იგი</w:t>
      </w:r>
      <w:r w:rsidRPr="00912D9E">
        <w:rPr>
          <w:rFonts w:ascii="Sylfaen" w:hAnsi="Sylfaen" w:cs="Segoe UI"/>
          <w:sz w:val="20"/>
          <w:szCs w:val="20"/>
          <w:lang w:val="ka-GE"/>
        </w:rPr>
        <w:t xml:space="preserve"> ნულოვან</w:t>
      </w:r>
      <w:r w:rsidR="000D0826">
        <w:rPr>
          <w:rStyle w:val="FootnoteReference"/>
          <w:rFonts w:ascii="Sylfaen" w:hAnsi="Sylfaen" w:cs="Segoe UI"/>
          <w:sz w:val="20"/>
          <w:szCs w:val="20"/>
          <w:lang w:val="ka-GE"/>
        </w:rPr>
        <w:footnoteReference w:id="1"/>
      </w:r>
      <w:r w:rsidRPr="00912D9E">
        <w:rPr>
          <w:rFonts w:ascii="Sylfaen" w:hAnsi="Sylfaen" w:cs="Segoe UI"/>
          <w:sz w:val="20"/>
          <w:szCs w:val="20"/>
          <w:lang w:val="ka-GE"/>
        </w:rPr>
        <w:t xml:space="preserve"> </w:t>
      </w:r>
      <w:r w:rsidR="000D0826">
        <w:rPr>
          <w:rFonts w:ascii="Sylfaen" w:hAnsi="Sylfaen" w:cs="Segoe UI"/>
          <w:sz w:val="20"/>
          <w:szCs w:val="20"/>
          <w:lang w:val="ka-GE"/>
        </w:rPr>
        <w:t xml:space="preserve">სცენარს </w:t>
      </w:r>
      <w:r w:rsidR="000A5DDB">
        <w:rPr>
          <w:rFonts w:ascii="Sylfaen" w:hAnsi="Sylfaen" w:cs="Segoe UI"/>
          <w:sz w:val="20"/>
          <w:szCs w:val="20"/>
          <w:lang w:val="ka-GE"/>
        </w:rPr>
        <w:t>1.6</w:t>
      </w:r>
      <w:r w:rsidR="00F462D8">
        <w:rPr>
          <w:rFonts w:ascii="Sylfaen" w:hAnsi="Sylfaen" w:cs="Segoe UI"/>
          <w:sz w:val="20"/>
          <w:szCs w:val="20"/>
          <w:lang w:val="ka-GE"/>
        </w:rPr>
        <w:t xml:space="preserve">%-ით </w:t>
      </w:r>
      <w:r w:rsidR="00A10B7E">
        <w:rPr>
          <w:rFonts w:ascii="Sylfaen" w:hAnsi="Sylfaen" w:cs="Segoe UI"/>
          <w:sz w:val="20"/>
          <w:szCs w:val="20"/>
          <w:lang w:val="ka-GE"/>
        </w:rPr>
        <w:t xml:space="preserve">აჭარბებს. </w:t>
      </w:r>
      <w:r w:rsidRPr="00194344">
        <w:rPr>
          <w:rFonts w:ascii="Sylfaen" w:hAnsi="Sylfaen" w:cs="Segoe UI"/>
          <w:sz w:val="20"/>
          <w:szCs w:val="20"/>
          <w:lang w:val="ka-GE"/>
        </w:rPr>
        <w:t xml:space="preserve"> </w:t>
      </w:r>
      <w:r w:rsidR="00A10B7E">
        <w:rPr>
          <w:rFonts w:ascii="Sylfaen" w:hAnsi="Sylfaen" w:cs="Segoe UI"/>
          <w:sz w:val="20"/>
          <w:szCs w:val="20"/>
          <w:lang w:val="ka-GE"/>
        </w:rPr>
        <w:t>უნდა აღინიშნოს, რომ</w:t>
      </w:r>
      <w:r w:rsidR="00A10593">
        <w:rPr>
          <w:rFonts w:ascii="Sylfaen" w:hAnsi="Sylfaen" w:cs="Segoe UI"/>
          <w:sz w:val="20"/>
          <w:szCs w:val="20"/>
          <w:lang w:val="ka-GE"/>
        </w:rPr>
        <w:t xml:space="preserve"> 2026 წლისათვის</w:t>
      </w:r>
      <w:r w:rsidR="00A10B7E">
        <w:rPr>
          <w:rFonts w:ascii="Sylfaen" w:hAnsi="Sylfaen" w:cs="Segoe UI"/>
          <w:sz w:val="20"/>
          <w:szCs w:val="20"/>
          <w:lang w:val="ka-GE"/>
        </w:rPr>
        <w:t xml:space="preserve"> პოზიტიურ სცენარში ეკონომიკა </w:t>
      </w:r>
      <w:r w:rsidR="000A5DDB">
        <w:rPr>
          <w:rFonts w:ascii="Sylfaen" w:hAnsi="Sylfaen" w:cs="Segoe UI"/>
          <w:sz w:val="20"/>
          <w:szCs w:val="20"/>
          <w:lang w:val="ka-GE"/>
        </w:rPr>
        <w:t>7.3</w:t>
      </w:r>
      <w:r w:rsidR="00A10B7E">
        <w:rPr>
          <w:rFonts w:ascii="Sylfaen" w:hAnsi="Sylfaen" w:cs="Segoe UI"/>
          <w:sz w:val="20"/>
          <w:szCs w:val="20"/>
          <w:lang w:val="ka-GE"/>
        </w:rPr>
        <w:t xml:space="preserve">%-ით აჭარბებს ნულოვან სცენარს, ხოლო ნეგატიურ სცენარში ჩამორჩენა </w:t>
      </w:r>
      <w:r w:rsidR="000A5DDB">
        <w:rPr>
          <w:rFonts w:ascii="Sylfaen" w:hAnsi="Sylfaen" w:cs="Segoe UI"/>
          <w:sz w:val="20"/>
          <w:szCs w:val="20"/>
          <w:lang w:val="ka-GE"/>
        </w:rPr>
        <w:t>8.8</w:t>
      </w:r>
      <w:r w:rsidR="00A10B7E">
        <w:rPr>
          <w:rFonts w:ascii="Sylfaen" w:hAnsi="Sylfaen" w:cs="Segoe UI"/>
          <w:sz w:val="20"/>
          <w:szCs w:val="20"/>
          <w:lang w:val="ka-GE"/>
        </w:rPr>
        <w:t xml:space="preserve">%-მდე იზრდება. </w:t>
      </w:r>
    </w:p>
    <w:p w:rsidR="00AF4337" w:rsidRPr="00194344" w:rsidRDefault="00FA23BD" w:rsidP="00544F05">
      <w:pPr>
        <w:spacing w:before="240" w:after="0" w:line="276" w:lineRule="auto"/>
        <w:ind w:firstLine="540"/>
        <w:jc w:val="both"/>
        <w:rPr>
          <w:rFonts w:ascii="Sylfaen" w:hAnsi="Sylfaen" w:cs="Segoe UI"/>
          <w:sz w:val="20"/>
          <w:szCs w:val="20"/>
          <w:lang w:val="ka-GE"/>
        </w:rPr>
      </w:pPr>
      <w:r>
        <w:rPr>
          <w:rFonts w:ascii="Sylfaen" w:hAnsi="Sylfaen" w:cs="Segoe UI"/>
          <w:sz w:val="20"/>
          <w:szCs w:val="20"/>
          <w:lang w:val="ka-GE"/>
        </w:rPr>
        <w:t xml:space="preserve">საშუალვადიან პერიოდში </w:t>
      </w:r>
      <w:r w:rsidR="00AF4337" w:rsidRPr="00194344">
        <w:rPr>
          <w:rFonts w:ascii="Sylfaen" w:hAnsi="Sylfaen" w:cs="Segoe UI"/>
          <w:sz w:val="20"/>
          <w:szCs w:val="20"/>
          <w:lang w:val="ka-GE"/>
        </w:rPr>
        <w:t>აღნიშნული ჩამორჩენის მთავარი მიზეზებია:</w:t>
      </w:r>
    </w:p>
    <w:p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გაუარესებული ბალანსშიტი;</w:t>
      </w:r>
    </w:p>
    <w:p w:rsidR="00AF4337" w:rsidRPr="00194344"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ტურიზმის გლობალური სენტიმენტები;</w:t>
      </w:r>
    </w:p>
    <w:p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194344">
        <w:rPr>
          <w:rFonts w:ascii="Sylfaen" w:hAnsi="Sylfaen" w:cs="Segoe UI"/>
          <w:sz w:val="20"/>
          <w:szCs w:val="20"/>
          <w:lang w:val="ka-GE"/>
        </w:rPr>
        <w:t>მომხმარებელთა შემცირებული სენტიმენტი;</w:t>
      </w:r>
    </w:p>
    <w:p w:rsidR="00AF4337" w:rsidRDefault="00AF4337"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sidRPr="00001F1A">
        <w:rPr>
          <w:rFonts w:ascii="Sylfaen" w:hAnsi="Sylfaen" w:cs="Segoe UI"/>
          <w:sz w:val="20"/>
          <w:szCs w:val="20"/>
          <w:lang w:val="ka-GE"/>
        </w:rPr>
        <w:t>ეკონომიკის დივერსიფიცირების დაბალი ხარისხი</w:t>
      </w:r>
      <w:r w:rsidR="00A10B7E">
        <w:rPr>
          <w:rFonts w:ascii="Sylfaen" w:hAnsi="Sylfaen" w:cs="Segoe UI"/>
          <w:sz w:val="20"/>
          <w:szCs w:val="20"/>
          <w:lang w:val="ka-GE"/>
        </w:rPr>
        <w:t xml:space="preserve">; </w:t>
      </w:r>
    </w:p>
    <w:p w:rsidR="006F0F04" w:rsidRDefault="00A10B7E"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Pr>
          <w:rFonts w:ascii="Sylfaen" w:hAnsi="Sylfaen" w:cs="Segoe UI"/>
          <w:sz w:val="20"/>
          <w:szCs w:val="20"/>
          <w:lang w:val="ka-GE"/>
        </w:rPr>
        <w:t xml:space="preserve">გეოპოლიტიკური </w:t>
      </w:r>
      <w:r w:rsidR="006F0F04">
        <w:rPr>
          <w:rFonts w:ascii="Sylfaen" w:hAnsi="Sylfaen" w:cs="Segoe UI"/>
          <w:sz w:val="20"/>
          <w:szCs w:val="20"/>
          <w:lang w:val="ka-GE"/>
        </w:rPr>
        <w:t xml:space="preserve">ვითარება და სავაჭრო ბრუნვის შემცირება; </w:t>
      </w:r>
    </w:p>
    <w:p w:rsidR="00A10B7E" w:rsidRDefault="00A10B7E" w:rsidP="00544F05">
      <w:pPr>
        <w:pStyle w:val="ListParagraph"/>
        <w:numPr>
          <w:ilvl w:val="0"/>
          <w:numId w:val="19"/>
        </w:numPr>
        <w:spacing w:before="240" w:after="0" w:line="276" w:lineRule="auto"/>
        <w:ind w:left="360" w:hanging="180"/>
        <w:jc w:val="both"/>
        <w:rPr>
          <w:rFonts w:ascii="Sylfaen" w:hAnsi="Sylfaen" w:cs="Segoe UI"/>
          <w:sz w:val="20"/>
          <w:szCs w:val="20"/>
          <w:lang w:val="ka-GE"/>
        </w:rPr>
      </w:pPr>
      <w:r>
        <w:rPr>
          <w:rFonts w:ascii="Sylfaen" w:hAnsi="Sylfaen" w:cs="Segoe UI"/>
          <w:sz w:val="20"/>
          <w:szCs w:val="20"/>
          <w:lang w:val="ka-GE"/>
        </w:rPr>
        <w:t xml:space="preserve">გამკაცრებული მონეტარული პოლიტიკა.  </w:t>
      </w:r>
    </w:p>
    <w:p w:rsidR="00AF4337" w:rsidRDefault="00AF4337" w:rsidP="00544F05">
      <w:pPr>
        <w:spacing w:before="240" w:after="0" w:line="276" w:lineRule="auto"/>
        <w:ind w:left="180"/>
        <w:jc w:val="both"/>
        <w:rPr>
          <w:rFonts w:ascii="Sylfaen" w:hAnsi="Sylfaen" w:cs="Segoe UI"/>
          <w:sz w:val="20"/>
          <w:szCs w:val="20"/>
        </w:rPr>
      </w:pPr>
    </w:p>
    <w:p w:rsidR="009D7FAF" w:rsidRDefault="009D7FAF" w:rsidP="00544F05">
      <w:pPr>
        <w:spacing w:before="240" w:after="0" w:line="276" w:lineRule="auto"/>
        <w:ind w:left="180"/>
        <w:jc w:val="both"/>
        <w:rPr>
          <w:rFonts w:ascii="Sylfaen" w:hAnsi="Sylfaen" w:cs="Segoe UI"/>
          <w:sz w:val="20"/>
          <w:szCs w:val="20"/>
        </w:rPr>
      </w:pPr>
    </w:p>
    <w:p w:rsidR="009D7FAF" w:rsidRDefault="009D7FAF" w:rsidP="00544F05">
      <w:pPr>
        <w:spacing w:before="240" w:after="0" w:line="276" w:lineRule="auto"/>
        <w:ind w:left="180"/>
        <w:jc w:val="both"/>
        <w:rPr>
          <w:rFonts w:ascii="Sylfaen" w:hAnsi="Sylfaen" w:cs="Segoe UI"/>
          <w:sz w:val="20"/>
          <w:szCs w:val="20"/>
        </w:rPr>
      </w:pPr>
    </w:p>
    <w:p w:rsidR="009D7FAF" w:rsidRPr="00F462D8" w:rsidRDefault="009D7FAF" w:rsidP="00544F05">
      <w:pPr>
        <w:spacing w:before="240" w:after="0" w:line="276" w:lineRule="auto"/>
        <w:ind w:left="180"/>
        <w:jc w:val="both"/>
        <w:rPr>
          <w:rFonts w:ascii="Sylfaen" w:hAnsi="Sylfaen" w:cs="Segoe UI"/>
          <w:sz w:val="20"/>
          <w:szCs w:val="20"/>
        </w:rPr>
      </w:pPr>
      <w:r w:rsidRPr="003B512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0087AF4" wp14:editId="100A1179">
                <wp:simplePos x="0" y="0"/>
                <wp:positionH relativeFrom="column">
                  <wp:posOffset>95326</wp:posOffset>
                </wp:positionH>
                <wp:positionV relativeFrom="paragraph">
                  <wp:posOffset>356</wp:posOffset>
                </wp:positionV>
                <wp:extent cx="3197860" cy="230886"/>
                <wp:effectExtent l="0" t="0" r="2540" b="0"/>
                <wp:wrapTopAndBottom/>
                <wp:docPr id="22" name="Text Box 22"/>
                <wp:cNvGraphicFramePr/>
                <a:graphic xmlns:a="http://schemas.openxmlformats.org/drawingml/2006/main">
                  <a:graphicData uri="http://schemas.microsoft.com/office/word/2010/wordprocessingShape">
                    <wps:wsp>
                      <wps:cNvSpPr txBox="1"/>
                      <wps:spPr>
                        <a:xfrm>
                          <a:off x="0" y="0"/>
                          <a:ext cx="3197860" cy="230886"/>
                        </a:xfrm>
                        <a:prstGeom prst="rect">
                          <a:avLst/>
                        </a:prstGeom>
                        <a:solidFill>
                          <a:prstClr val="white"/>
                        </a:solidFill>
                        <a:ln>
                          <a:noFill/>
                        </a:ln>
                      </wps:spPr>
                      <wps:txbx>
                        <w:txbxContent>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7AF4" id="Text Box 22" o:spid="_x0000_s1028" type="#_x0000_t202" style="position:absolute;left:0;text-align:left;margin-left:7.5pt;margin-top:.05pt;width:251.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" stroked="f">
                <v:textbox inset="0,0,0,0">
                  <w:txbxContent>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Pr>
                          <w:rFonts w:cstheme="minorHAnsi"/>
                          <w:i w:val="0"/>
                          <w:iCs w:val="0"/>
                          <w:lang w:val="ka-GE"/>
                        </w:rPr>
                        <w:t>9</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F23CB8" w:rsidRDefault="00DA1AF5" w:rsidP="00AF4337">
                      <w:pPr>
                        <w:pStyle w:val="Caption"/>
                        <w:rPr>
                          <w:rFonts w:cstheme="minorHAnsi"/>
                        </w:rPr>
                      </w:pPr>
                      <w:r w:rsidRPr="00F23CB8">
                        <w:rPr>
                          <w:rFonts w:ascii="Sylfaen" w:hAnsi="Sylfaen" w:cs="Sylfaen"/>
                          <w:i w:val="0"/>
                          <w:iCs w:val="0"/>
                        </w:rPr>
                        <w:t>დიაგრამა</w:t>
                      </w:r>
                      <w:r w:rsidRPr="00F23CB8">
                        <w:rPr>
                          <w:rFonts w:cstheme="minorHAnsi"/>
                          <w:i w:val="0"/>
                          <w:iCs w:val="0"/>
                        </w:rPr>
                        <w:t xml:space="preserve"> </w:t>
                      </w:r>
                      <w:r w:rsidRPr="00F23CB8">
                        <w:rPr>
                          <w:rFonts w:cstheme="minorHAnsi"/>
                          <w:i w:val="0"/>
                          <w:iCs w:val="0"/>
                          <w:lang w:val="ka-GE"/>
                        </w:rPr>
                        <w:t>10</w:t>
                      </w:r>
                      <w:r w:rsidRPr="00F23CB8">
                        <w:rPr>
                          <w:rFonts w:cstheme="minorHAnsi"/>
                          <w:i w:val="0"/>
                          <w:iCs w:val="0"/>
                          <w:noProof/>
                        </w:rPr>
                        <w:t>:</w:t>
                      </w:r>
                      <w:r w:rsidRPr="00F23CB8">
                        <w:rPr>
                          <w:rFonts w:cstheme="minorHAnsi"/>
                          <w:i w:val="0"/>
                          <w:iCs w:val="0"/>
                          <w:lang w:val="ka-GE"/>
                        </w:rPr>
                        <w:t xml:space="preserve"> </w:t>
                      </w:r>
                      <w:r w:rsidRPr="00F23CB8">
                        <w:rPr>
                          <w:rFonts w:ascii="Sylfaen" w:hAnsi="Sylfaen" w:cs="Sylfaen"/>
                          <w:i w:val="0"/>
                          <w:iCs w:val="0"/>
                          <w:lang w:val="ka-GE"/>
                        </w:rPr>
                        <w:t>რეალური</w:t>
                      </w:r>
                      <w:r w:rsidRPr="00F23CB8">
                        <w:rPr>
                          <w:rFonts w:cstheme="minorHAnsi"/>
                          <w:i w:val="0"/>
                          <w:iCs w:val="0"/>
                          <w:lang w:val="ka-GE"/>
                        </w:rPr>
                        <w:t xml:space="preserve"> </w:t>
                      </w:r>
                      <w:r w:rsidRPr="00F23CB8">
                        <w:rPr>
                          <w:rFonts w:ascii="Sylfaen" w:hAnsi="Sylfaen" w:cs="Sylfaen"/>
                          <w:i w:val="0"/>
                          <w:iCs w:val="0"/>
                          <w:lang w:val="ka-GE"/>
                        </w:rPr>
                        <w:t>მშპ</w:t>
                      </w:r>
                      <w:r w:rsidRPr="00F23CB8">
                        <w:rPr>
                          <w:rFonts w:cstheme="minorHAnsi"/>
                          <w:i w:val="0"/>
                          <w:iCs w:val="0"/>
                          <w:lang w:val="ka-GE"/>
                        </w:rPr>
                        <w:t>-</w:t>
                      </w:r>
                      <w:r w:rsidRPr="00F23CB8">
                        <w:rPr>
                          <w:rFonts w:ascii="Sylfaen" w:hAnsi="Sylfaen" w:cs="Sylfaen"/>
                          <w:i w:val="0"/>
                          <w:iCs w:val="0"/>
                          <w:lang w:val="ka-GE"/>
                        </w:rPr>
                        <w:t>ს</w:t>
                      </w:r>
                      <w:r w:rsidRPr="00F23CB8">
                        <w:rPr>
                          <w:rFonts w:cstheme="minorHAnsi"/>
                          <w:i w:val="0"/>
                          <w:iCs w:val="0"/>
                          <w:lang w:val="ka-GE"/>
                        </w:rPr>
                        <w:t xml:space="preserve"> </w:t>
                      </w:r>
                      <w:r w:rsidRPr="00F23CB8">
                        <w:rPr>
                          <w:rFonts w:ascii="Sylfaen" w:hAnsi="Sylfaen" w:cs="Sylfaen"/>
                          <w:i w:val="0"/>
                          <w:iCs w:val="0"/>
                          <w:lang w:val="ka-GE"/>
                        </w:rPr>
                        <w:t>ინდექსი</w:t>
                      </w:r>
                    </w:p>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p w:rsidR="00DA1AF5" w:rsidRDefault="00DA1AF5" w:rsidP="00AF4337"/>
                    <w:p w:rsidR="00DA1AF5" w:rsidRPr="003B5120" w:rsidRDefault="00DA1AF5" w:rsidP="00AF4337">
                      <w:pPr>
                        <w:pStyle w:val="Caption"/>
                        <w:rPr>
                          <w:rFonts w:eastAsia="+mn-ea" w:cs="Calibri"/>
                          <w:i w:val="0"/>
                          <w:iCs w:val="0"/>
                          <w:color w:val="000000"/>
                          <w:kern w:val="24"/>
                        </w:rPr>
                      </w:pPr>
                      <w:r w:rsidRPr="003B5120">
                        <w:rPr>
                          <w:rFonts w:cs="Calibri"/>
                          <w:i w:val="0"/>
                          <w:iCs w:val="0"/>
                        </w:rPr>
                        <w:t>დიაგრამა 1</w:t>
                      </w:r>
                      <w:r w:rsidRPr="003B5120">
                        <w:rPr>
                          <w:rFonts w:cs="Calibri"/>
                          <w:i w:val="0"/>
                          <w:iCs w:val="0"/>
                          <w:noProof/>
                        </w:rPr>
                        <w:t>:</w:t>
                      </w:r>
                      <w:r w:rsidRPr="003B5120">
                        <w:rPr>
                          <w:rFonts w:cs="Calibri"/>
                          <w:i w:val="0"/>
                          <w:iCs w:val="0"/>
                          <w:lang w:val="ka-GE"/>
                        </w:rPr>
                        <w:t xml:space="preserve"> ეკონომიკური ზრდა</w:t>
                      </w:r>
                    </w:p>
                  </w:txbxContent>
                </v:textbox>
                <w10:wrap type="topAndBottom"/>
              </v:shape>
            </w:pict>
          </mc:Fallback>
        </mc:AlternateContent>
      </w:r>
    </w:p>
    <w:p w:rsidR="00AF4337" w:rsidRPr="00AF4337" w:rsidRDefault="00FC675B" w:rsidP="00544F05">
      <w:pPr>
        <w:spacing w:before="240" w:line="276" w:lineRule="auto"/>
      </w:pPr>
      <w:r>
        <w:rPr>
          <w:noProof/>
        </w:rPr>
        <w:drawing>
          <wp:inline distT="0" distB="0" distL="0" distR="0" wp14:anchorId="2A0977DA">
            <wp:extent cx="6633210" cy="3157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3210" cy="3157855"/>
                    </a:xfrm>
                    <a:prstGeom prst="rect">
                      <a:avLst/>
                    </a:prstGeom>
                    <a:noFill/>
                  </pic:spPr>
                </pic:pic>
              </a:graphicData>
            </a:graphic>
          </wp:inline>
        </w:drawing>
      </w:r>
    </w:p>
    <w:sectPr w:rsidR="00AF4337" w:rsidRPr="00AF4337" w:rsidSect="00CC0C7B">
      <w:headerReference w:type="default" r:id="rId20"/>
      <w:footerReference w:type="default" r:id="rId21"/>
      <w:footerReference w:type="first" r:id="rId22"/>
      <w:pgSz w:w="12240" w:h="15840"/>
      <w:pgMar w:top="1134" w:right="896" w:bottom="833" w:left="907" w:header="68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518" w:rsidRDefault="00C04518" w:rsidP="00CF6E50">
      <w:pPr>
        <w:spacing w:after="0" w:line="240" w:lineRule="auto"/>
      </w:pPr>
      <w:r>
        <w:separator/>
      </w:r>
    </w:p>
  </w:endnote>
  <w:endnote w:type="continuationSeparator" w:id="0">
    <w:p w:rsidR="00C04518" w:rsidRDefault="00C04518" w:rsidP="00CF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PG Nino Mtavruli">
    <w:altName w:val="Sylfaen"/>
    <w:panose1 w:val="02000806000000020004"/>
    <w:charset w:val="00"/>
    <w:family w:val="auto"/>
    <w:pitch w:val="variable"/>
    <w:sig w:usb0="84000027" w:usb1="1000004A"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23131"/>
      <w:docPartObj>
        <w:docPartGallery w:val="Page Numbers (Bottom of Page)"/>
        <w:docPartUnique/>
      </w:docPartObj>
    </w:sdtPr>
    <w:sdtEndPr>
      <w:rPr>
        <w:noProof/>
      </w:rPr>
    </w:sdtEndPr>
    <w:sdtContent>
      <w:p w:rsidR="00DA1AF5" w:rsidRDefault="00DA1AF5">
        <w:pPr>
          <w:pStyle w:val="Footer"/>
          <w:jc w:val="right"/>
        </w:pPr>
        <w:r>
          <w:fldChar w:fldCharType="begin"/>
        </w:r>
        <w:r>
          <w:instrText xml:space="preserve"> PAGE   \* MERGEFORMAT </w:instrText>
        </w:r>
        <w:r>
          <w:fldChar w:fldCharType="separate"/>
        </w:r>
        <w:r w:rsidR="00931885">
          <w:rPr>
            <w:noProof/>
          </w:rPr>
          <w:t>3</w:t>
        </w:r>
        <w:r>
          <w:rPr>
            <w:noProof/>
          </w:rPr>
          <w:fldChar w:fldCharType="end"/>
        </w:r>
      </w:p>
    </w:sdtContent>
  </w:sdt>
  <w:p w:rsidR="00DA1AF5" w:rsidRDefault="00DA1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5" w:rsidRDefault="00DA1AF5">
    <w:pPr>
      <w:pStyle w:val="Footer"/>
      <w:jc w:val="right"/>
    </w:pPr>
  </w:p>
  <w:p w:rsidR="00DA1AF5" w:rsidRDefault="00DA1AF5">
    <w:pPr>
      <w:pStyle w:val="Footer"/>
      <w:jc w:val="right"/>
    </w:pPr>
  </w:p>
  <w:p w:rsidR="00DA1AF5" w:rsidRDefault="00DA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518" w:rsidRDefault="00C04518" w:rsidP="00CF6E50">
      <w:pPr>
        <w:spacing w:after="0" w:line="240" w:lineRule="auto"/>
      </w:pPr>
      <w:r>
        <w:separator/>
      </w:r>
    </w:p>
  </w:footnote>
  <w:footnote w:type="continuationSeparator" w:id="0">
    <w:p w:rsidR="00C04518" w:rsidRDefault="00C04518" w:rsidP="00CF6E50">
      <w:pPr>
        <w:spacing w:after="0" w:line="240" w:lineRule="auto"/>
      </w:pPr>
      <w:r>
        <w:continuationSeparator/>
      </w:r>
    </w:p>
  </w:footnote>
  <w:footnote w:id="1">
    <w:p w:rsidR="00DA1AF5" w:rsidRPr="00FA23BD" w:rsidRDefault="00DA1AF5">
      <w:pPr>
        <w:pStyle w:val="FootnoteText"/>
        <w:rPr>
          <w:lang w:val="ka-GE"/>
        </w:rPr>
      </w:pPr>
      <w:r>
        <w:rPr>
          <w:rStyle w:val="FootnoteReference"/>
        </w:rPr>
        <w:footnoteRef/>
      </w:r>
      <w:r>
        <w:t xml:space="preserve"> </w:t>
      </w:r>
      <w:r>
        <w:rPr>
          <w:lang w:val="ka-GE"/>
        </w:rPr>
        <w:t>ნულოვანი სცენარი წარმოადგენს 2019 წლის შემდეგ, პანდემიის არ არსებობის პერიოდში ეკონომიკის საშუალოდ 4.5%-იან რეალურ ზრდას.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5" w:rsidRDefault="00DA1AF5">
    <w:pPr>
      <w:pStyle w:val="Header"/>
    </w:pPr>
    <w:r>
      <w:rPr>
        <w:noProof/>
      </w:rPr>
      <w:drawing>
        <wp:anchor distT="0" distB="0" distL="114300" distR="114300" simplePos="0" relativeHeight="251658240" behindDoc="0" locked="0" layoutInCell="1" allowOverlap="1" wp14:anchorId="7E014E96" wp14:editId="1330BC51">
          <wp:simplePos x="0" y="0"/>
          <wp:positionH relativeFrom="column">
            <wp:posOffset>-108585</wp:posOffset>
          </wp:positionH>
          <wp:positionV relativeFrom="paragraph">
            <wp:posOffset>-415290</wp:posOffset>
          </wp:positionV>
          <wp:extent cx="1946275" cy="648335"/>
          <wp:effectExtent l="0" t="0" r="0" b="0"/>
          <wp:wrapThrough wrapText="bothSides">
            <wp:wrapPolygon edited="0">
              <wp:start x="2114" y="0"/>
              <wp:lineTo x="846" y="2539"/>
              <wp:lineTo x="0" y="6981"/>
              <wp:lineTo x="0" y="15232"/>
              <wp:lineTo x="1691" y="20310"/>
              <wp:lineTo x="2326" y="20944"/>
              <wp:lineTo x="5285" y="20944"/>
              <wp:lineTo x="21353" y="10789"/>
              <wp:lineTo x="21353" y="6347"/>
              <wp:lineTo x="5497" y="0"/>
              <wp:lineTo x="2114" y="0"/>
            </wp:wrapPolygon>
          </wp:wrapThrough>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f_logo.png"/>
                  <pic:cNvPicPr/>
                </pic:nvPicPr>
                <pic:blipFill>
                  <a:blip r:embed="rId1">
                    <a:extLst>
                      <a:ext uri="{28A0092B-C50C-407E-A947-70E740481C1C}">
                        <a14:useLocalDpi xmlns:a14="http://schemas.microsoft.com/office/drawing/2010/main" val="0"/>
                      </a:ext>
                    </a:extLst>
                  </a:blip>
                  <a:stretch>
                    <a:fillRect/>
                  </a:stretch>
                </pic:blipFill>
                <pic:spPr>
                  <a:xfrm>
                    <a:off x="0" y="0"/>
                    <a:ext cx="1946275"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549"/>
    <w:multiLevelType w:val="hybridMultilevel"/>
    <w:tmpl w:val="CE7A9EB4"/>
    <w:lvl w:ilvl="0" w:tplc="04090003">
      <w:start w:val="1"/>
      <w:numFmt w:val="bullet"/>
      <w:lvlText w:val="o"/>
      <w:lvlJc w:val="left"/>
      <w:pPr>
        <w:ind w:left="1440" w:hanging="360"/>
      </w:pPr>
      <w:rPr>
        <w:rFonts w:ascii="Courier New" w:hAnsi="Courier New" w:cs="Courier New" w:hint="default"/>
      </w:rPr>
    </w:lvl>
    <w:lvl w:ilvl="1" w:tplc="C8563102">
      <w:numFmt w:val="bullet"/>
      <w:lvlText w:val=""/>
      <w:lvlJc w:val="left"/>
      <w:pPr>
        <w:ind w:left="2535" w:hanging="735"/>
      </w:pPr>
      <w:rPr>
        <w:rFonts w:ascii="Symbol" w:eastAsiaTheme="minorHAnsi" w:hAnsi="Symbol"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7C03"/>
    <w:multiLevelType w:val="hybridMultilevel"/>
    <w:tmpl w:val="BABE9E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5150AB"/>
    <w:multiLevelType w:val="hybridMultilevel"/>
    <w:tmpl w:val="9982BDEE"/>
    <w:lvl w:ilvl="0" w:tplc="E3108CAC">
      <w:start w:val="1"/>
      <w:numFmt w:val="decimal"/>
      <w:lvlText w:val="%1."/>
      <w:lvlJc w:val="left"/>
      <w:pPr>
        <w:ind w:left="360" w:hanging="360"/>
      </w:pPr>
      <w:rPr>
        <w:rFonts w:ascii="Sylfaen" w:eastAsiaTheme="minorHAnsi" w:hAnsi="Sylfaen"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E0892"/>
    <w:multiLevelType w:val="hybridMultilevel"/>
    <w:tmpl w:val="465E1A66"/>
    <w:lvl w:ilvl="0" w:tplc="882809C6">
      <w:numFmt w:val="bullet"/>
      <w:lvlText w:val="•"/>
      <w:lvlJc w:val="left"/>
      <w:pPr>
        <w:ind w:left="480" w:hanging="360"/>
      </w:pPr>
      <w:rPr>
        <w:rFonts w:ascii="Segoe UI" w:eastAsiaTheme="minorHAnsi" w:hAnsi="Segoe UI" w:cs="Segoe U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0D8B4787"/>
    <w:multiLevelType w:val="hybridMultilevel"/>
    <w:tmpl w:val="974018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56225"/>
    <w:multiLevelType w:val="hybridMultilevel"/>
    <w:tmpl w:val="85A6A286"/>
    <w:lvl w:ilvl="0" w:tplc="1A5A7212">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90007"/>
    <w:multiLevelType w:val="hybridMultilevel"/>
    <w:tmpl w:val="7C2AF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0446E"/>
    <w:multiLevelType w:val="hybridMultilevel"/>
    <w:tmpl w:val="A9081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DA5983"/>
    <w:multiLevelType w:val="hybridMultilevel"/>
    <w:tmpl w:val="5BA42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160DCC"/>
    <w:multiLevelType w:val="hybridMultilevel"/>
    <w:tmpl w:val="15E0B3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35AB7"/>
    <w:multiLevelType w:val="hybridMultilevel"/>
    <w:tmpl w:val="C680AB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A27BD3"/>
    <w:multiLevelType w:val="hybridMultilevel"/>
    <w:tmpl w:val="DC3C774A"/>
    <w:lvl w:ilvl="0" w:tplc="78B40E60">
      <w:start w:val="2"/>
      <w:numFmt w:val="decimal"/>
      <w:lvlText w:val="%1."/>
      <w:lvlJc w:val="left"/>
      <w:pPr>
        <w:ind w:left="360" w:hanging="360"/>
      </w:pPr>
      <w:rPr>
        <w:rFonts w:ascii="Sylfaen" w:hAnsi="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A3FE0"/>
    <w:multiLevelType w:val="hybridMultilevel"/>
    <w:tmpl w:val="80E67EDA"/>
    <w:lvl w:ilvl="0" w:tplc="1A662658">
      <w:numFmt w:val="bullet"/>
      <w:lvlText w:val=""/>
      <w:lvlJc w:val="left"/>
      <w:pPr>
        <w:ind w:left="1230" w:hanging="51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DA7504"/>
    <w:multiLevelType w:val="hybridMultilevel"/>
    <w:tmpl w:val="3852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97583"/>
    <w:multiLevelType w:val="hybridMultilevel"/>
    <w:tmpl w:val="E04AF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1A36"/>
    <w:multiLevelType w:val="hybridMultilevel"/>
    <w:tmpl w:val="749E2F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5357C"/>
    <w:multiLevelType w:val="hybridMultilevel"/>
    <w:tmpl w:val="43D4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C164F"/>
    <w:multiLevelType w:val="hybridMultilevel"/>
    <w:tmpl w:val="221C00CA"/>
    <w:lvl w:ilvl="0" w:tplc="BFC6A748">
      <w:start w:val="2019"/>
      <w:numFmt w:val="bullet"/>
      <w:lvlText w:val="•"/>
      <w:lvlJc w:val="left"/>
      <w:pPr>
        <w:ind w:left="1980" w:hanging="720"/>
      </w:pPr>
      <w:rPr>
        <w:rFonts w:ascii="Segoe UI" w:eastAsiaTheme="minorHAnsi" w:hAnsi="Segoe UI" w:cs="Segoe UI" w:hint="default"/>
        <w:sz w:val="20"/>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05762B4"/>
    <w:multiLevelType w:val="multilevel"/>
    <w:tmpl w:val="4472151E"/>
    <w:lvl w:ilvl="0">
      <w:start w:val="1"/>
      <w:numFmt w:val="decimal"/>
      <w:lvlText w:val="%1."/>
      <w:lvlJc w:val="left"/>
      <w:pPr>
        <w:ind w:left="720" w:hanging="72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9F13FC"/>
    <w:multiLevelType w:val="hybridMultilevel"/>
    <w:tmpl w:val="9DD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E5DD5"/>
    <w:multiLevelType w:val="hybridMultilevel"/>
    <w:tmpl w:val="D9949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D55E2"/>
    <w:multiLevelType w:val="hybridMultilevel"/>
    <w:tmpl w:val="964C8E46"/>
    <w:lvl w:ilvl="0" w:tplc="C62294E4">
      <w:numFmt w:val="bullet"/>
      <w:lvlText w:val=""/>
      <w:lvlJc w:val="left"/>
      <w:pPr>
        <w:ind w:left="1320" w:hanging="600"/>
      </w:pPr>
      <w:rPr>
        <w:rFonts w:ascii="Symbol" w:eastAsiaTheme="minorHAnsi" w:hAnsi="Symbol"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7B285B"/>
    <w:multiLevelType w:val="hybridMultilevel"/>
    <w:tmpl w:val="B6706A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B21545"/>
    <w:multiLevelType w:val="hybridMultilevel"/>
    <w:tmpl w:val="57CA6E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557AFB"/>
    <w:multiLevelType w:val="hybridMultilevel"/>
    <w:tmpl w:val="BA6E7C7A"/>
    <w:lvl w:ilvl="0" w:tplc="5476B314">
      <w:start w:val="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F6A6E"/>
    <w:multiLevelType w:val="hybridMultilevel"/>
    <w:tmpl w:val="8974B3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7"/>
  </w:num>
  <w:num w:numId="4">
    <w:abstractNumId w:val="19"/>
  </w:num>
  <w:num w:numId="5">
    <w:abstractNumId w:val="2"/>
  </w:num>
  <w:num w:numId="6">
    <w:abstractNumId w:val="25"/>
  </w:num>
  <w:num w:numId="7">
    <w:abstractNumId w:val="11"/>
  </w:num>
  <w:num w:numId="8">
    <w:abstractNumId w:val="24"/>
  </w:num>
  <w:num w:numId="9">
    <w:abstractNumId w:val="13"/>
  </w:num>
  <w:num w:numId="10">
    <w:abstractNumId w:val="4"/>
  </w:num>
  <w:num w:numId="11">
    <w:abstractNumId w:val="5"/>
  </w:num>
  <w:num w:numId="12">
    <w:abstractNumId w:val="0"/>
  </w:num>
  <w:num w:numId="13">
    <w:abstractNumId w:val="22"/>
  </w:num>
  <w:num w:numId="14">
    <w:abstractNumId w:val="23"/>
  </w:num>
  <w:num w:numId="15">
    <w:abstractNumId w:val="26"/>
  </w:num>
  <w:num w:numId="16">
    <w:abstractNumId w:val="10"/>
  </w:num>
  <w:num w:numId="17">
    <w:abstractNumId w:val="14"/>
  </w:num>
  <w:num w:numId="18">
    <w:abstractNumId w:val="6"/>
  </w:num>
  <w:num w:numId="19">
    <w:abstractNumId w:val="18"/>
  </w:num>
  <w:num w:numId="20">
    <w:abstractNumId w:val="17"/>
  </w:num>
  <w:num w:numId="21">
    <w:abstractNumId w:val="3"/>
  </w:num>
  <w:num w:numId="22">
    <w:abstractNumId w:val="15"/>
  </w:num>
  <w:num w:numId="23">
    <w:abstractNumId w:val="9"/>
  </w:num>
  <w:num w:numId="24">
    <w:abstractNumId w:val="8"/>
  </w:num>
  <w:num w:numId="25">
    <w:abstractNumId w:val="1"/>
  </w:num>
  <w:num w:numId="26">
    <w:abstractNumId w:val="21"/>
  </w:num>
  <w:num w:numId="27">
    <w:abstractNumId w:val="12"/>
  </w:num>
  <w:num w:numId="28">
    <w:abstractNumId w:val="1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78"/>
    <w:rsid w:val="00000442"/>
    <w:rsid w:val="00001148"/>
    <w:rsid w:val="000015C9"/>
    <w:rsid w:val="00001F1A"/>
    <w:rsid w:val="00002C23"/>
    <w:rsid w:val="00002D5F"/>
    <w:rsid w:val="00004DED"/>
    <w:rsid w:val="00007E44"/>
    <w:rsid w:val="00013EC1"/>
    <w:rsid w:val="0001551E"/>
    <w:rsid w:val="000159BC"/>
    <w:rsid w:val="0002511E"/>
    <w:rsid w:val="00030183"/>
    <w:rsid w:val="0003181F"/>
    <w:rsid w:val="0003218A"/>
    <w:rsid w:val="00033D97"/>
    <w:rsid w:val="000414D3"/>
    <w:rsid w:val="0004274A"/>
    <w:rsid w:val="00052985"/>
    <w:rsid w:val="000537E8"/>
    <w:rsid w:val="00054293"/>
    <w:rsid w:val="00054312"/>
    <w:rsid w:val="00055C81"/>
    <w:rsid w:val="000614BE"/>
    <w:rsid w:val="00061BB4"/>
    <w:rsid w:val="00063706"/>
    <w:rsid w:val="00066864"/>
    <w:rsid w:val="00077166"/>
    <w:rsid w:val="00082C57"/>
    <w:rsid w:val="000A4D4A"/>
    <w:rsid w:val="000A5DDB"/>
    <w:rsid w:val="000A655A"/>
    <w:rsid w:val="000B4EB7"/>
    <w:rsid w:val="000B557A"/>
    <w:rsid w:val="000B5B7B"/>
    <w:rsid w:val="000B6C34"/>
    <w:rsid w:val="000B732B"/>
    <w:rsid w:val="000B7FDC"/>
    <w:rsid w:val="000C47D6"/>
    <w:rsid w:val="000C491B"/>
    <w:rsid w:val="000D0826"/>
    <w:rsid w:val="000D7DF7"/>
    <w:rsid w:val="000E5971"/>
    <w:rsid w:val="000F0EE6"/>
    <w:rsid w:val="000F2641"/>
    <w:rsid w:val="000F2773"/>
    <w:rsid w:val="000F2891"/>
    <w:rsid w:val="001066E7"/>
    <w:rsid w:val="001101A1"/>
    <w:rsid w:val="00112C1B"/>
    <w:rsid w:val="001135F7"/>
    <w:rsid w:val="00114227"/>
    <w:rsid w:val="00115AC6"/>
    <w:rsid w:val="001235E3"/>
    <w:rsid w:val="00124E00"/>
    <w:rsid w:val="00130881"/>
    <w:rsid w:val="00131BAF"/>
    <w:rsid w:val="00131FBD"/>
    <w:rsid w:val="00135475"/>
    <w:rsid w:val="00136444"/>
    <w:rsid w:val="00140EF4"/>
    <w:rsid w:val="00140F62"/>
    <w:rsid w:val="001428EE"/>
    <w:rsid w:val="00145370"/>
    <w:rsid w:val="0014592A"/>
    <w:rsid w:val="00151CD7"/>
    <w:rsid w:val="001669FC"/>
    <w:rsid w:val="00166E5C"/>
    <w:rsid w:val="001701C5"/>
    <w:rsid w:val="001710C5"/>
    <w:rsid w:val="00173F46"/>
    <w:rsid w:val="00186C4B"/>
    <w:rsid w:val="00190D83"/>
    <w:rsid w:val="001912EF"/>
    <w:rsid w:val="00194344"/>
    <w:rsid w:val="001A2B35"/>
    <w:rsid w:val="001A36EE"/>
    <w:rsid w:val="001A620E"/>
    <w:rsid w:val="001B0BC7"/>
    <w:rsid w:val="001B2E5C"/>
    <w:rsid w:val="001B3C2F"/>
    <w:rsid w:val="001C2052"/>
    <w:rsid w:val="001C3D10"/>
    <w:rsid w:val="001C535E"/>
    <w:rsid w:val="001D21AC"/>
    <w:rsid w:val="001D2537"/>
    <w:rsid w:val="001D33F1"/>
    <w:rsid w:val="001D471D"/>
    <w:rsid w:val="001D4C1F"/>
    <w:rsid w:val="001D55B6"/>
    <w:rsid w:val="001D70BE"/>
    <w:rsid w:val="001E0BB3"/>
    <w:rsid w:val="001E5B0A"/>
    <w:rsid w:val="001E6F04"/>
    <w:rsid w:val="001F47D8"/>
    <w:rsid w:val="001F56FB"/>
    <w:rsid w:val="001F65BF"/>
    <w:rsid w:val="00200F0D"/>
    <w:rsid w:val="00212B2A"/>
    <w:rsid w:val="00220221"/>
    <w:rsid w:val="002202BC"/>
    <w:rsid w:val="0022089A"/>
    <w:rsid w:val="002231EF"/>
    <w:rsid w:val="002251EA"/>
    <w:rsid w:val="002314FA"/>
    <w:rsid w:val="0023365D"/>
    <w:rsid w:val="0023637E"/>
    <w:rsid w:val="00236979"/>
    <w:rsid w:val="00241ACF"/>
    <w:rsid w:val="002462AA"/>
    <w:rsid w:val="00247023"/>
    <w:rsid w:val="0025046C"/>
    <w:rsid w:val="002515EE"/>
    <w:rsid w:val="002522FF"/>
    <w:rsid w:val="00266FC2"/>
    <w:rsid w:val="00271E27"/>
    <w:rsid w:val="0027480C"/>
    <w:rsid w:val="00275053"/>
    <w:rsid w:val="00275130"/>
    <w:rsid w:val="00283359"/>
    <w:rsid w:val="00283E23"/>
    <w:rsid w:val="00286EE5"/>
    <w:rsid w:val="00286FA6"/>
    <w:rsid w:val="0028768D"/>
    <w:rsid w:val="00291494"/>
    <w:rsid w:val="00296F3C"/>
    <w:rsid w:val="002A2AEB"/>
    <w:rsid w:val="002B0477"/>
    <w:rsid w:val="002B533F"/>
    <w:rsid w:val="002B687A"/>
    <w:rsid w:val="002C6B8A"/>
    <w:rsid w:val="002D3A14"/>
    <w:rsid w:val="002E604C"/>
    <w:rsid w:val="002F46DB"/>
    <w:rsid w:val="00301A5B"/>
    <w:rsid w:val="0030260C"/>
    <w:rsid w:val="003032B0"/>
    <w:rsid w:val="00305813"/>
    <w:rsid w:val="003071FB"/>
    <w:rsid w:val="00311D76"/>
    <w:rsid w:val="00322276"/>
    <w:rsid w:val="003269C4"/>
    <w:rsid w:val="00330467"/>
    <w:rsid w:val="003314EC"/>
    <w:rsid w:val="003350DD"/>
    <w:rsid w:val="00342699"/>
    <w:rsid w:val="00346057"/>
    <w:rsid w:val="003512B4"/>
    <w:rsid w:val="003517E4"/>
    <w:rsid w:val="00351D22"/>
    <w:rsid w:val="00353804"/>
    <w:rsid w:val="003653BF"/>
    <w:rsid w:val="00370065"/>
    <w:rsid w:val="00370703"/>
    <w:rsid w:val="00373F80"/>
    <w:rsid w:val="003742A3"/>
    <w:rsid w:val="00374560"/>
    <w:rsid w:val="00384655"/>
    <w:rsid w:val="00385E6A"/>
    <w:rsid w:val="00386ED5"/>
    <w:rsid w:val="0039592E"/>
    <w:rsid w:val="003A1B4F"/>
    <w:rsid w:val="003A4883"/>
    <w:rsid w:val="003A6407"/>
    <w:rsid w:val="003B5120"/>
    <w:rsid w:val="003C0BDE"/>
    <w:rsid w:val="003C4293"/>
    <w:rsid w:val="003C4CA4"/>
    <w:rsid w:val="003C71A4"/>
    <w:rsid w:val="003D4330"/>
    <w:rsid w:val="003D648A"/>
    <w:rsid w:val="003E5129"/>
    <w:rsid w:val="003E6477"/>
    <w:rsid w:val="003F0B3B"/>
    <w:rsid w:val="003F22E3"/>
    <w:rsid w:val="003F54AC"/>
    <w:rsid w:val="00401E4E"/>
    <w:rsid w:val="00402C9C"/>
    <w:rsid w:val="004047B7"/>
    <w:rsid w:val="00405305"/>
    <w:rsid w:val="00411BE0"/>
    <w:rsid w:val="00415614"/>
    <w:rsid w:val="004175DD"/>
    <w:rsid w:val="00417878"/>
    <w:rsid w:val="004221DF"/>
    <w:rsid w:val="0042357A"/>
    <w:rsid w:val="0042358B"/>
    <w:rsid w:val="004368AD"/>
    <w:rsid w:val="00440FFD"/>
    <w:rsid w:val="00445D2F"/>
    <w:rsid w:val="00446EAD"/>
    <w:rsid w:val="00454430"/>
    <w:rsid w:val="004557B7"/>
    <w:rsid w:val="00456DB8"/>
    <w:rsid w:val="004579CC"/>
    <w:rsid w:val="00460051"/>
    <w:rsid w:val="00464D38"/>
    <w:rsid w:val="00465AF4"/>
    <w:rsid w:val="0046611A"/>
    <w:rsid w:val="0046718B"/>
    <w:rsid w:val="00474D98"/>
    <w:rsid w:val="00475BD8"/>
    <w:rsid w:val="0047714D"/>
    <w:rsid w:val="00477AF8"/>
    <w:rsid w:val="004A1E76"/>
    <w:rsid w:val="004A7F97"/>
    <w:rsid w:val="004B26ED"/>
    <w:rsid w:val="004B6FE2"/>
    <w:rsid w:val="004D0355"/>
    <w:rsid w:val="004D378F"/>
    <w:rsid w:val="004D4372"/>
    <w:rsid w:val="004D53CB"/>
    <w:rsid w:val="004E021E"/>
    <w:rsid w:val="004E054E"/>
    <w:rsid w:val="004E665D"/>
    <w:rsid w:val="004F2E78"/>
    <w:rsid w:val="004F2FF8"/>
    <w:rsid w:val="0050180A"/>
    <w:rsid w:val="00503477"/>
    <w:rsid w:val="005074EE"/>
    <w:rsid w:val="00525598"/>
    <w:rsid w:val="00526F02"/>
    <w:rsid w:val="005311E7"/>
    <w:rsid w:val="00531C8D"/>
    <w:rsid w:val="005320D0"/>
    <w:rsid w:val="00540A15"/>
    <w:rsid w:val="00540C9F"/>
    <w:rsid w:val="0054193C"/>
    <w:rsid w:val="00542B7B"/>
    <w:rsid w:val="005430BA"/>
    <w:rsid w:val="0054437A"/>
    <w:rsid w:val="00544F05"/>
    <w:rsid w:val="0054706D"/>
    <w:rsid w:val="005529F1"/>
    <w:rsid w:val="00562830"/>
    <w:rsid w:val="00563FF2"/>
    <w:rsid w:val="00571DB8"/>
    <w:rsid w:val="0057236C"/>
    <w:rsid w:val="00572542"/>
    <w:rsid w:val="00592DE6"/>
    <w:rsid w:val="00592DF7"/>
    <w:rsid w:val="005A257D"/>
    <w:rsid w:val="005B428F"/>
    <w:rsid w:val="005B7D6E"/>
    <w:rsid w:val="005C08C7"/>
    <w:rsid w:val="005C1C0F"/>
    <w:rsid w:val="005C268C"/>
    <w:rsid w:val="005C6654"/>
    <w:rsid w:val="005D1D66"/>
    <w:rsid w:val="005D4934"/>
    <w:rsid w:val="005D5F77"/>
    <w:rsid w:val="005E3315"/>
    <w:rsid w:val="005E472D"/>
    <w:rsid w:val="005E558E"/>
    <w:rsid w:val="005F08E1"/>
    <w:rsid w:val="005F3CA3"/>
    <w:rsid w:val="00600021"/>
    <w:rsid w:val="00606B99"/>
    <w:rsid w:val="00614986"/>
    <w:rsid w:val="00620B86"/>
    <w:rsid w:val="006211C7"/>
    <w:rsid w:val="006232F7"/>
    <w:rsid w:val="00626534"/>
    <w:rsid w:val="00627DEF"/>
    <w:rsid w:val="00633220"/>
    <w:rsid w:val="00647CEE"/>
    <w:rsid w:val="00655390"/>
    <w:rsid w:val="0065719A"/>
    <w:rsid w:val="0065775B"/>
    <w:rsid w:val="00657927"/>
    <w:rsid w:val="00657BAD"/>
    <w:rsid w:val="0066647C"/>
    <w:rsid w:val="00667D4A"/>
    <w:rsid w:val="00670F7C"/>
    <w:rsid w:val="0067152A"/>
    <w:rsid w:val="00673EA7"/>
    <w:rsid w:val="00674AEB"/>
    <w:rsid w:val="00676827"/>
    <w:rsid w:val="006835BA"/>
    <w:rsid w:val="00685CB3"/>
    <w:rsid w:val="00690744"/>
    <w:rsid w:val="006940A7"/>
    <w:rsid w:val="006943E9"/>
    <w:rsid w:val="006A04A6"/>
    <w:rsid w:val="006B23BE"/>
    <w:rsid w:val="006C06B6"/>
    <w:rsid w:val="006C10F6"/>
    <w:rsid w:val="006C28C8"/>
    <w:rsid w:val="006C5B1A"/>
    <w:rsid w:val="006C6762"/>
    <w:rsid w:val="006C7937"/>
    <w:rsid w:val="006D15E3"/>
    <w:rsid w:val="006E02BE"/>
    <w:rsid w:val="006E0C61"/>
    <w:rsid w:val="006E16D8"/>
    <w:rsid w:val="006E24A7"/>
    <w:rsid w:val="006E3940"/>
    <w:rsid w:val="006F0F04"/>
    <w:rsid w:val="006F2DE6"/>
    <w:rsid w:val="006F3177"/>
    <w:rsid w:val="00700FD5"/>
    <w:rsid w:val="007046B2"/>
    <w:rsid w:val="00711066"/>
    <w:rsid w:val="00721824"/>
    <w:rsid w:val="00722739"/>
    <w:rsid w:val="00727134"/>
    <w:rsid w:val="007342C6"/>
    <w:rsid w:val="00734648"/>
    <w:rsid w:val="007415FB"/>
    <w:rsid w:val="00742CD0"/>
    <w:rsid w:val="00743EDE"/>
    <w:rsid w:val="007440C0"/>
    <w:rsid w:val="0074672D"/>
    <w:rsid w:val="00750AF5"/>
    <w:rsid w:val="00752D5E"/>
    <w:rsid w:val="00753BF8"/>
    <w:rsid w:val="00761EC9"/>
    <w:rsid w:val="00766CD9"/>
    <w:rsid w:val="0077059B"/>
    <w:rsid w:val="007866B7"/>
    <w:rsid w:val="00791C7A"/>
    <w:rsid w:val="007928B8"/>
    <w:rsid w:val="007A0D1D"/>
    <w:rsid w:val="007A22C6"/>
    <w:rsid w:val="007B0415"/>
    <w:rsid w:val="007B49B9"/>
    <w:rsid w:val="007C4893"/>
    <w:rsid w:val="007C7403"/>
    <w:rsid w:val="007D124E"/>
    <w:rsid w:val="007D3FC0"/>
    <w:rsid w:val="007E66B6"/>
    <w:rsid w:val="007E6B28"/>
    <w:rsid w:val="007F2B3C"/>
    <w:rsid w:val="007F3A23"/>
    <w:rsid w:val="007F3F47"/>
    <w:rsid w:val="00804A9A"/>
    <w:rsid w:val="00804F51"/>
    <w:rsid w:val="00805936"/>
    <w:rsid w:val="00805D8D"/>
    <w:rsid w:val="00806A24"/>
    <w:rsid w:val="00810062"/>
    <w:rsid w:val="00810365"/>
    <w:rsid w:val="00811C4B"/>
    <w:rsid w:val="008123F4"/>
    <w:rsid w:val="00820C42"/>
    <w:rsid w:val="0082363C"/>
    <w:rsid w:val="00833803"/>
    <w:rsid w:val="00833E61"/>
    <w:rsid w:val="00834597"/>
    <w:rsid w:val="0083593D"/>
    <w:rsid w:val="00852FDA"/>
    <w:rsid w:val="008555E8"/>
    <w:rsid w:val="008566B7"/>
    <w:rsid w:val="00856D96"/>
    <w:rsid w:val="00862AF3"/>
    <w:rsid w:val="00862E39"/>
    <w:rsid w:val="00866C92"/>
    <w:rsid w:val="00875F23"/>
    <w:rsid w:val="00876B60"/>
    <w:rsid w:val="008854FC"/>
    <w:rsid w:val="0089596A"/>
    <w:rsid w:val="008B15C7"/>
    <w:rsid w:val="008B756A"/>
    <w:rsid w:val="008C1454"/>
    <w:rsid w:val="008C6634"/>
    <w:rsid w:val="008D0FD4"/>
    <w:rsid w:val="008D7997"/>
    <w:rsid w:val="008E5977"/>
    <w:rsid w:val="008E6401"/>
    <w:rsid w:val="008F0C01"/>
    <w:rsid w:val="008F0CBE"/>
    <w:rsid w:val="008F3BD3"/>
    <w:rsid w:val="008F4E31"/>
    <w:rsid w:val="008F5E38"/>
    <w:rsid w:val="00900FAD"/>
    <w:rsid w:val="009075DF"/>
    <w:rsid w:val="00911BD2"/>
    <w:rsid w:val="00912D9E"/>
    <w:rsid w:val="00926979"/>
    <w:rsid w:val="00931885"/>
    <w:rsid w:val="00932578"/>
    <w:rsid w:val="00935545"/>
    <w:rsid w:val="0093558D"/>
    <w:rsid w:val="00940CE3"/>
    <w:rsid w:val="009437D3"/>
    <w:rsid w:val="00945B6B"/>
    <w:rsid w:val="00947C0C"/>
    <w:rsid w:val="0095287D"/>
    <w:rsid w:val="00954905"/>
    <w:rsid w:val="009603DD"/>
    <w:rsid w:val="00965B90"/>
    <w:rsid w:val="009708BE"/>
    <w:rsid w:val="009710A3"/>
    <w:rsid w:val="009764FC"/>
    <w:rsid w:val="00982167"/>
    <w:rsid w:val="00994C3C"/>
    <w:rsid w:val="009A31BB"/>
    <w:rsid w:val="009B0995"/>
    <w:rsid w:val="009B30D7"/>
    <w:rsid w:val="009B3E76"/>
    <w:rsid w:val="009B6782"/>
    <w:rsid w:val="009C061D"/>
    <w:rsid w:val="009C5F14"/>
    <w:rsid w:val="009C6005"/>
    <w:rsid w:val="009D7FAF"/>
    <w:rsid w:val="009E09E1"/>
    <w:rsid w:val="009E2E9F"/>
    <w:rsid w:val="009E41E8"/>
    <w:rsid w:val="009E436A"/>
    <w:rsid w:val="009E5E03"/>
    <w:rsid w:val="009E6E7C"/>
    <w:rsid w:val="009E70B2"/>
    <w:rsid w:val="009F31F0"/>
    <w:rsid w:val="00A02540"/>
    <w:rsid w:val="00A10593"/>
    <w:rsid w:val="00A10B7E"/>
    <w:rsid w:val="00A123B9"/>
    <w:rsid w:val="00A14C5A"/>
    <w:rsid w:val="00A16130"/>
    <w:rsid w:val="00A172F9"/>
    <w:rsid w:val="00A3360A"/>
    <w:rsid w:val="00A3568E"/>
    <w:rsid w:val="00A35B99"/>
    <w:rsid w:val="00A36820"/>
    <w:rsid w:val="00A36E5C"/>
    <w:rsid w:val="00A37498"/>
    <w:rsid w:val="00A4270D"/>
    <w:rsid w:val="00A520AB"/>
    <w:rsid w:val="00A54054"/>
    <w:rsid w:val="00A5654D"/>
    <w:rsid w:val="00A61C96"/>
    <w:rsid w:val="00A62C3D"/>
    <w:rsid w:val="00A66DAC"/>
    <w:rsid w:val="00A90CBB"/>
    <w:rsid w:val="00A93015"/>
    <w:rsid w:val="00A97359"/>
    <w:rsid w:val="00AA2427"/>
    <w:rsid w:val="00AB24BB"/>
    <w:rsid w:val="00AB2B94"/>
    <w:rsid w:val="00AB4222"/>
    <w:rsid w:val="00AB603E"/>
    <w:rsid w:val="00AB7B89"/>
    <w:rsid w:val="00AC704F"/>
    <w:rsid w:val="00AD1980"/>
    <w:rsid w:val="00AD5FD5"/>
    <w:rsid w:val="00AD6CFA"/>
    <w:rsid w:val="00AF038C"/>
    <w:rsid w:val="00AF2B97"/>
    <w:rsid w:val="00AF4337"/>
    <w:rsid w:val="00AF7561"/>
    <w:rsid w:val="00B028F0"/>
    <w:rsid w:val="00B1136F"/>
    <w:rsid w:val="00B207A3"/>
    <w:rsid w:val="00B22801"/>
    <w:rsid w:val="00B248D5"/>
    <w:rsid w:val="00B24B15"/>
    <w:rsid w:val="00B3116F"/>
    <w:rsid w:val="00B34BFA"/>
    <w:rsid w:val="00B37086"/>
    <w:rsid w:val="00B4020C"/>
    <w:rsid w:val="00B41F41"/>
    <w:rsid w:val="00B42C4C"/>
    <w:rsid w:val="00B46848"/>
    <w:rsid w:val="00B51837"/>
    <w:rsid w:val="00B529C1"/>
    <w:rsid w:val="00B53C44"/>
    <w:rsid w:val="00B55B69"/>
    <w:rsid w:val="00B56154"/>
    <w:rsid w:val="00B575E6"/>
    <w:rsid w:val="00B60C33"/>
    <w:rsid w:val="00B6284A"/>
    <w:rsid w:val="00B633EC"/>
    <w:rsid w:val="00B6423F"/>
    <w:rsid w:val="00B702F1"/>
    <w:rsid w:val="00B738E0"/>
    <w:rsid w:val="00B77160"/>
    <w:rsid w:val="00B83CE9"/>
    <w:rsid w:val="00B850F3"/>
    <w:rsid w:val="00B857C2"/>
    <w:rsid w:val="00B8625D"/>
    <w:rsid w:val="00B867A7"/>
    <w:rsid w:val="00B87932"/>
    <w:rsid w:val="00B87A65"/>
    <w:rsid w:val="00B87E73"/>
    <w:rsid w:val="00B90B35"/>
    <w:rsid w:val="00B94636"/>
    <w:rsid w:val="00B949D5"/>
    <w:rsid w:val="00BA460B"/>
    <w:rsid w:val="00BA51DC"/>
    <w:rsid w:val="00BA6F80"/>
    <w:rsid w:val="00BB6A51"/>
    <w:rsid w:val="00BC00F4"/>
    <w:rsid w:val="00BC58DC"/>
    <w:rsid w:val="00BC7174"/>
    <w:rsid w:val="00BD0FF1"/>
    <w:rsid w:val="00BD4148"/>
    <w:rsid w:val="00BD6DAF"/>
    <w:rsid w:val="00BD7F05"/>
    <w:rsid w:val="00BE2637"/>
    <w:rsid w:val="00BE2DB2"/>
    <w:rsid w:val="00BE3375"/>
    <w:rsid w:val="00BE35C2"/>
    <w:rsid w:val="00BE3B56"/>
    <w:rsid w:val="00BF22DB"/>
    <w:rsid w:val="00BF3884"/>
    <w:rsid w:val="00C02EA7"/>
    <w:rsid w:val="00C03D07"/>
    <w:rsid w:val="00C04518"/>
    <w:rsid w:val="00C05DF7"/>
    <w:rsid w:val="00C07F19"/>
    <w:rsid w:val="00C1066B"/>
    <w:rsid w:val="00C11A8E"/>
    <w:rsid w:val="00C14283"/>
    <w:rsid w:val="00C2102E"/>
    <w:rsid w:val="00C25700"/>
    <w:rsid w:val="00C300FF"/>
    <w:rsid w:val="00C3097C"/>
    <w:rsid w:val="00C33EA6"/>
    <w:rsid w:val="00C354E6"/>
    <w:rsid w:val="00C55B49"/>
    <w:rsid w:val="00C609B8"/>
    <w:rsid w:val="00C61944"/>
    <w:rsid w:val="00C73A5E"/>
    <w:rsid w:val="00C75FAB"/>
    <w:rsid w:val="00C76B89"/>
    <w:rsid w:val="00CA2D6C"/>
    <w:rsid w:val="00CA4213"/>
    <w:rsid w:val="00CB3C84"/>
    <w:rsid w:val="00CB67E5"/>
    <w:rsid w:val="00CC08A2"/>
    <w:rsid w:val="00CC0C7B"/>
    <w:rsid w:val="00CC0EC6"/>
    <w:rsid w:val="00CC1F8E"/>
    <w:rsid w:val="00CC274E"/>
    <w:rsid w:val="00CD43B9"/>
    <w:rsid w:val="00CD4B49"/>
    <w:rsid w:val="00CD7662"/>
    <w:rsid w:val="00CE195E"/>
    <w:rsid w:val="00CE3157"/>
    <w:rsid w:val="00CE6E2B"/>
    <w:rsid w:val="00CE7D75"/>
    <w:rsid w:val="00CF64BC"/>
    <w:rsid w:val="00CF6E50"/>
    <w:rsid w:val="00D01AD4"/>
    <w:rsid w:val="00D03564"/>
    <w:rsid w:val="00D04D1B"/>
    <w:rsid w:val="00D16B0A"/>
    <w:rsid w:val="00D1750B"/>
    <w:rsid w:val="00D1769C"/>
    <w:rsid w:val="00D2043D"/>
    <w:rsid w:val="00D267E1"/>
    <w:rsid w:val="00D300AA"/>
    <w:rsid w:val="00D33BB6"/>
    <w:rsid w:val="00D414DD"/>
    <w:rsid w:val="00D4297E"/>
    <w:rsid w:val="00D46152"/>
    <w:rsid w:val="00D51654"/>
    <w:rsid w:val="00D51D63"/>
    <w:rsid w:val="00D53F78"/>
    <w:rsid w:val="00D56AF5"/>
    <w:rsid w:val="00D655E4"/>
    <w:rsid w:val="00D665D9"/>
    <w:rsid w:val="00D66DEC"/>
    <w:rsid w:val="00D708CF"/>
    <w:rsid w:val="00D73B98"/>
    <w:rsid w:val="00D75108"/>
    <w:rsid w:val="00D751E7"/>
    <w:rsid w:val="00D801ED"/>
    <w:rsid w:val="00D844E7"/>
    <w:rsid w:val="00D86BED"/>
    <w:rsid w:val="00D87457"/>
    <w:rsid w:val="00D920D4"/>
    <w:rsid w:val="00DA0567"/>
    <w:rsid w:val="00DA1AF5"/>
    <w:rsid w:val="00DB0DA6"/>
    <w:rsid w:val="00DB0DA9"/>
    <w:rsid w:val="00DB10BC"/>
    <w:rsid w:val="00DB2940"/>
    <w:rsid w:val="00DB3A82"/>
    <w:rsid w:val="00DB6D28"/>
    <w:rsid w:val="00DB7675"/>
    <w:rsid w:val="00DC120F"/>
    <w:rsid w:val="00DC32CF"/>
    <w:rsid w:val="00DC38B6"/>
    <w:rsid w:val="00DD088C"/>
    <w:rsid w:val="00DD32A0"/>
    <w:rsid w:val="00DD3E47"/>
    <w:rsid w:val="00DD7891"/>
    <w:rsid w:val="00DE2249"/>
    <w:rsid w:val="00DF3250"/>
    <w:rsid w:val="00DF38EC"/>
    <w:rsid w:val="00DF7374"/>
    <w:rsid w:val="00E00D18"/>
    <w:rsid w:val="00E02371"/>
    <w:rsid w:val="00E035F0"/>
    <w:rsid w:val="00E1050F"/>
    <w:rsid w:val="00E16686"/>
    <w:rsid w:val="00E232BB"/>
    <w:rsid w:val="00E2698F"/>
    <w:rsid w:val="00E26B28"/>
    <w:rsid w:val="00E338E9"/>
    <w:rsid w:val="00E33BBB"/>
    <w:rsid w:val="00E34A8F"/>
    <w:rsid w:val="00E41C4F"/>
    <w:rsid w:val="00E42525"/>
    <w:rsid w:val="00E50FA7"/>
    <w:rsid w:val="00E518CF"/>
    <w:rsid w:val="00E61957"/>
    <w:rsid w:val="00E61988"/>
    <w:rsid w:val="00E61C69"/>
    <w:rsid w:val="00E66C3D"/>
    <w:rsid w:val="00E67796"/>
    <w:rsid w:val="00E71AFC"/>
    <w:rsid w:val="00E72A49"/>
    <w:rsid w:val="00E74571"/>
    <w:rsid w:val="00E76BAA"/>
    <w:rsid w:val="00E824A4"/>
    <w:rsid w:val="00E8516D"/>
    <w:rsid w:val="00E85C15"/>
    <w:rsid w:val="00E86B59"/>
    <w:rsid w:val="00E901A8"/>
    <w:rsid w:val="00E935BE"/>
    <w:rsid w:val="00E96B8C"/>
    <w:rsid w:val="00EA0190"/>
    <w:rsid w:val="00EB3039"/>
    <w:rsid w:val="00EB6213"/>
    <w:rsid w:val="00EC0A9A"/>
    <w:rsid w:val="00EC3B5B"/>
    <w:rsid w:val="00EC4B0E"/>
    <w:rsid w:val="00ED418B"/>
    <w:rsid w:val="00ED4BE4"/>
    <w:rsid w:val="00ED6D04"/>
    <w:rsid w:val="00ED7ADB"/>
    <w:rsid w:val="00EE05CC"/>
    <w:rsid w:val="00EE19F0"/>
    <w:rsid w:val="00EF368F"/>
    <w:rsid w:val="00EF40B8"/>
    <w:rsid w:val="00EF56DF"/>
    <w:rsid w:val="00EF66D3"/>
    <w:rsid w:val="00EF6703"/>
    <w:rsid w:val="00F206B1"/>
    <w:rsid w:val="00F23CB8"/>
    <w:rsid w:val="00F26EE2"/>
    <w:rsid w:val="00F2789D"/>
    <w:rsid w:val="00F379ED"/>
    <w:rsid w:val="00F43054"/>
    <w:rsid w:val="00F462D8"/>
    <w:rsid w:val="00F4694B"/>
    <w:rsid w:val="00F46B98"/>
    <w:rsid w:val="00F525E1"/>
    <w:rsid w:val="00F5781A"/>
    <w:rsid w:val="00F67C6C"/>
    <w:rsid w:val="00F7151E"/>
    <w:rsid w:val="00F7249C"/>
    <w:rsid w:val="00F7291C"/>
    <w:rsid w:val="00F729C6"/>
    <w:rsid w:val="00F74EF5"/>
    <w:rsid w:val="00F8714D"/>
    <w:rsid w:val="00F900A8"/>
    <w:rsid w:val="00F910E9"/>
    <w:rsid w:val="00F938E2"/>
    <w:rsid w:val="00F964DF"/>
    <w:rsid w:val="00FA0023"/>
    <w:rsid w:val="00FA1905"/>
    <w:rsid w:val="00FA23BD"/>
    <w:rsid w:val="00FA282F"/>
    <w:rsid w:val="00FA79F1"/>
    <w:rsid w:val="00FB3D44"/>
    <w:rsid w:val="00FC1A7A"/>
    <w:rsid w:val="00FC675B"/>
    <w:rsid w:val="00FD1A42"/>
    <w:rsid w:val="00FD2A2F"/>
    <w:rsid w:val="00FD5F36"/>
    <w:rsid w:val="00FE4D10"/>
    <w:rsid w:val="00FE5396"/>
    <w:rsid w:val="00FF37F3"/>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22AC"/>
  <w15:chartTrackingRefBased/>
  <w15:docId w15:val="{76002BEF-74A9-451A-B114-4C8AB384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B7"/>
  </w:style>
  <w:style w:type="paragraph" w:styleId="Heading1">
    <w:name w:val="heading 1"/>
    <w:basedOn w:val="NormalWeb"/>
    <w:next w:val="Normal"/>
    <w:link w:val="Heading1Char"/>
    <w:uiPriority w:val="9"/>
    <w:qFormat/>
    <w:rsid w:val="00130881"/>
    <w:pPr>
      <w:kinsoku w:val="0"/>
      <w:overflowPunct w:val="0"/>
      <w:spacing w:before="0" w:beforeAutospacing="0" w:after="0" w:afterAutospacing="0" w:line="360" w:lineRule="auto"/>
      <w:textAlignment w:val="baseline"/>
      <w:outlineLvl w:val="0"/>
    </w:pPr>
    <w:rPr>
      <w:rFonts w:ascii="BPG Nino Mtavruli" w:eastAsia="+mn-ea" w:hAnsi="BPG Nino Mtavruli" w:cs="Sylfaen"/>
      <w:bCs/>
      <w:color w:val="000000"/>
      <w:kern w:val="24"/>
      <w:sz w:val="32"/>
      <w:szCs w:val="32"/>
    </w:rPr>
  </w:style>
  <w:style w:type="paragraph" w:styleId="Heading2">
    <w:name w:val="heading 2"/>
    <w:basedOn w:val="ListParagraph"/>
    <w:next w:val="Normal"/>
    <w:link w:val="Heading2Char"/>
    <w:uiPriority w:val="9"/>
    <w:unhideWhenUsed/>
    <w:qFormat/>
    <w:rsid w:val="00190D83"/>
    <w:pPr>
      <w:numPr>
        <w:ilvl w:val="1"/>
        <w:numId w:val="4"/>
      </w:numPr>
      <w:jc w:val="both"/>
      <w:outlineLvl w:val="1"/>
    </w:pPr>
    <w:rPr>
      <w:rFonts w:ascii="BPG Nino Mtavruli" w:hAnsi="BPG Nino Mtavruli" w:cs="Sylfaen"/>
      <w:b/>
      <w:lang w:val="ka-GE"/>
    </w:rPr>
  </w:style>
  <w:style w:type="paragraph" w:styleId="Heading3">
    <w:name w:val="heading 3"/>
    <w:basedOn w:val="Normal"/>
    <w:next w:val="Normal"/>
    <w:link w:val="Heading3Char"/>
    <w:uiPriority w:val="9"/>
    <w:unhideWhenUsed/>
    <w:qFormat/>
    <w:rsid w:val="00130881"/>
    <w:pPr>
      <w:keepNext/>
      <w:keepLines/>
      <w:spacing w:before="40" w:after="0"/>
      <w:outlineLvl w:val="2"/>
    </w:pPr>
    <w:rPr>
      <w:rFonts w:ascii="BPG Nino Mtavruli" w:eastAsiaTheme="majorEastAsia" w:hAnsi="BPG Nino Mtavruli" w:cstheme="majorBidi"/>
      <w:color w:val="000000" w:themeColor="text1"/>
      <w:sz w:val="24"/>
      <w:szCs w:val="24"/>
    </w:rPr>
  </w:style>
  <w:style w:type="paragraph" w:styleId="Heading4">
    <w:name w:val="heading 4"/>
    <w:basedOn w:val="Normal"/>
    <w:next w:val="Normal"/>
    <w:link w:val="Heading4Char"/>
    <w:uiPriority w:val="9"/>
    <w:unhideWhenUsed/>
    <w:qFormat/>
    <w:rsid w:val="008555E8"/>
    <w:pPr>
      <w:keepNext/>
      <w:keepLines/>
      <w:spacing w:before="40" w:after="0"/>
      <w:outlineLvl w:val="3"/>
    </w:pPr>
    <w:rPr>
      <w:rFonts w:ascii="BPG Nino Mtavruli" w:eastAsiaTheme="majorEastAsia" w:hAnsi="BPG Nino Mtavruli" w:cstheme="majorBidi"/>
      <w:color w:val="000000" w:themeColor="text1"/>
      <w:sz w:val="21"/>
      <w:szCs w:val="21"/>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50"/>
  </w:style>
  <w:style w:type="paragraph" w:styleId="Footer">
    <w:name w:val="footer"/>
    <w:basedOn w:val="Normal"/>
    <w:link w:val="FooterChar"/>
    <w:uiPriority w:val="99"/>
    <w:unhideWhenUsed/>
    <w:qFormat/>
    <w:rsid w:val="00CF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50"/>
  </w:style>
  <w:style w:type="paragraph" w:styleId="BalloonText">
    <w:name w:val="Balloon Text"/>
    <w:basedOn w:val="Normal"/>
    <w:link w:val="BalloonTextChar"/>
    <w:uiPriority w:val="99"/>
    <w:semiHidden/>
    <w:unhideWhenUsed/>
    <w:rsid w:val="0013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881"/>
    <w:rPr>
      <w:rFonts w:ascii="Segoe UI" w:hAnsi="Segoe UI" w:cs="Segoe UI"/>
      <w:sz w:val="18"/>
      <w:szCs w:val="18"/>
    </w:rPr>
  </w:style>
  <w:style w:type="character" w:customStyle="1" w:styleId="Heading1Char">
    <w:name w:val="Heading 1 Char"/>
    <w:basedOn w:val="DefaultParagraphFont"/>
    <w:link w:val="Heading1"/>
    <w:uiPriority w:val="9"/>
    <w:rsid w:val="00130881"/>
    <w:rPr>
      <w:rFonts w:ascii="BPG Nino Mtavruli" w:eastAsia="+mn-ea" w:hAnsi="BPG Nino Mtavruli" w:cs="Sylfaen"/>
      <w:bCs/>
      <w:color w:val="000000"/>
      <w:kern w:val="24"/>
      <w:sz w:val="32"/>
      <w:szCs w:val="32"/>
    </w:rPr>
  </w:style>
  <w:style w:type="character" w:customStyle="1" w:styleId="Heading2Char">
    <w:name w:val="Heading 2 Char"/>
    <w:basedOn w:val="DefaultParagraphFont"/>
    <w:link w:val="Heading2"/>
    <w:uiPriority w:val="9"/>
    <w:rsid w:val="00190D83"/>
    <w:rPr>
      <w:rFonts w:ascii="BPG Nino Mtavruli" w:hAnsi="BPG Nino Mtavruli" w:cs="Sylfaen"/>
      <w:b/>
      <w:lang w:val="ka-GE"/>
    </w:rPr>
  </w:style>
  <w:style w:type="character" w:customStyle="1" w:styleId="Heading3Char">
    <w:name w:val="Heading 3 Char"/>
    <w:basedOn w:val="DefaultParagraphFont"/>
    <w:link w:val="Heading3"/>
    <w:uiPriority w:val="9"/>
    <w:rsid w:val="00130881"/>
    <w:rPr>
      <w:rFonts w:ascii="BPG Nino Mtavruli" w:eastAsiaTheme="majorEastAsia" w:hAnsi="BPG Nino Mtavruli" w:cstheme="majorBidi"/>
      <w:color w:val="000000" w:themeColor="text1"/>
      <w:sz w:val="24"/>
      <w:szCs w:val="24"/>
    </w:rPr>
  </w:style>
  <w:style w:type="paragraph" w:styleId="NormalWeb">
    <w:name w:val="Normal (Web)"/>
    <w:basedOn w:val="Normal"/>
    <w:uiPriority w:val="99"/>
    <w:unhideWhenUsed/>
    <w:rsid w:val="00130881"/>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130881"/>
    <w:pPr>
      <w:spacing w:after="200" w:line="240" w:lineRule="auto"/>
    </w:pPr>
    <w:rPr>
      <w:i/>
      <w:iCs/>
      <w:color w:val="44546A" w:themeColor="text2"/>
      <w:sz w:val="18"/>
      <w:szCs w:val="18"/>
    </w:rPr>
  </w:style>
  <w:style w:type="paragraph" w:styleId="NoSpacing">
    <w:name w:val="No Spacing"/>
    <w:uiPriority w:val="1"/>
    <w:qFormat/>
    <w:rsid w:val="00130881"/>
    <w:pPr>
      <w:spacing w:after="0" w:line="240" w:lineRule="auto"/>
    </w:pPr>
    <w:rPr>
      <w:color w:val="44546A" w:themeColor="text2"/>
      <w:sz w:val="20"/>
      <w:szCs w:val="20"/>
    </w:rPr>
  </w:style>
  <w:style w:type="character" w:styleId="PlaceholderText">
    <w:name w:val="Placeholder Text"/>
    <w:basedOn w:val="DefaultParagraphFont"/>
    <w:uiPriority w:val="99"/>
    <w:semiHidden/>
    <w:rsid w:val="00130881"/>
    <w:rPr>
      <w:color w:val="808080"/>
    </w:rPr>
  </w:style>
  <w:style w:type="table" w:styleId="TableGrid">
    <w:name w:val="Table Grid"/>
    <w:basedOn w:val="TableNormal"/>
    <w:uiPriority w:val="39"/>
    <w:rsid w:val="0013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1308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13088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13088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5Dark-Accent1">
    <w:name w:val="Grid Table 5 Dark Accent 1"/>
    <w:basedOn w:val="TableNormal"/>
    <w:uiPriority w:val="50"/>
    <w:rsid w:val="001308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30881"/>
    <w:pPr>
      <w:ind w:left="720"/>
      <w:contextualSpacing/>
    </w:pPr>
  </w:style>
  <w:style w:type="paragraph" w:styleId="TOCHeading">
    <w:name w:val="TOC Heading"/>
    <w:basedOn w:val="Heading1"/>
    <w:next w:val="Normal"/>
    <w:uiPriority w:val="39"/>
    <w:unhideWhenUsed/>
    <w:qFormat/>
    <w:rsid w:val="00130881"/>
    <w:pPr>
      <w:keepNext/>
      <w:keepLines/>
      <w:kinsoku/>
      <w:overflowPunct/>
      <w:spacing w:before="240" w:line="259" w:lineRule="auto"/>
      <w:textAlignment w:val="auto"/>
      <w:outlineLvl w:val="9"/>
    </w:pPr>
    <w:rPr>
      <w:rFonts w:asciiTheme="majorHAnsi" w:eastAsiaTheme="majorEastAsia" w:hAnsiTheme="majorHAnsi" w:cstheme="majorBidi"/>
      <w:bCs w:val="0"/>
      <w:color w:val="2F5496" w:themeColor="accent1" w:themeShade="BF"/>
      <w:kern w:val="0"/>
    </w:rPr>
  </w:style>
  <w:style w:type="paragraph" w:styleId="TOC2">
    <w:name w:val="toc 2"/>
    <w:basedOn w:val="Normal"/>
    <w:next w:val="Normal"/>
    <w:autoRedefine/>
    <w:uiPriority w:val="39"/>
    <w:unhideWhenUsed/>
    <w:rsid w:val="00130881"/>
    <w:pPr>
      <w:spacing w:after="100"/>
      <w:ind w:left="220"/>
    </w:pPr>
  </w:style>
  <w:style w:type="paragraph" w:styleId="TOC1">
    <w:name w:val="toc 1"/>
    <w:basedOn w:val="Normal"/>
    <w:next w:val="Normal"/>
    <w:autoRedefine/>
    <w:uiPriority w:val="39"/>
    <w:unhideWhenUsed/>
    <w:rsid w:val="00130881"/>
    <w:pPr>
      <w:spacing w:after="100"/>
    </w:pPr>
  </w:style>
  <w:style w:type="character" w:styleId="Hyperlink">
    <w:name w:val="Hyperlink"/>
    <w:basedOn w:val="DefaultParagraphFont"/>
    <w:uiPriority w:val="99"/>
    <w:unhideWhenUsed/>
    <w:rsid w:val="00130881"/>
    <w:rPr>
      <w:color w:val="0563C1" w:themeColor="hyperlink"/>
      <w:u w:val="single"/>
    </w:rPr>
  </w:style>
  <w:style w:type="paragraph" w:styleId="TOC3">
    <w:name w:val="toc 3"/>
    <w:basedOn w:val="Normal"/>
    <w:next w:val="Normal"/>
    <w:autoRedefine/>
    <w:uiPriority w:val="39"/>
    <w:unhideWhenUsed/>
    <w:rsid w:val="00130881"/>
    <w:pPr>
      <w:spacing w:after="100"/>
      <w:ind w:left="440"/>
    </w:pPr>
  </w:style>
  <w:style w:type="table" w:styleId="TableGridLight">
    <w:name w:val="Grid Table Light"/>
    <w:basedOn w:val="TableNormal"/>
    <w:uiPriority w:val="40"/>
    <w:rsid w:val="00130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Normal"/>
    <w:next w:val="Normal"/>
    <w:autoRedefine/>
    <w:uiPriority w:val="39"/>
    <w:unhideWhenUsed/>
    <w:rsid w:val="00130881"/>
    <w:pPr>
      <w:spacing w:after="100"/>
      <w:ind w:left="660"/>
    </w:pPr>
    <w:rPr>
      <w:rFonts w:eastAsiaTheme="minorEastAsia"/>
    </w:rPr>
  </w:style>
  <w:style w:type="paragraph" w:styleId="TOC5">
    <w:name w:val="toc 5"/>
    <w:basedOn w:val="Normal"/>
    <w:next w:val="Normal"/>
    <w:autoRedefine/>
    <w:uiPriority w:val="39"/>
    <w:unhideWhenUsed/>
    <w:rsid w:val="00130881"/>
    <w:pPr>
      <w:spacing w:after="100"/>
      <w:ind w:left="880"/>
    </w:pPr>
    <w:rPr>
      <w:rFonts w:eastAsiaTheme="minorEastAsia"/>
    </w:rPr>
  </w:style>
  <w:style w:type="paragraph" w:styleId="TOC6">
    <w:name w:val="toc 6"/>
    <w:basedOn w:val="Normal"/>
    <w:next w:val="Normal"/>
    <w:autoRedefine/>
    <w:uiPriority w:val="39"/>
    <w:unhideWhenUsed/>
    <w:rsid w:val="00130881"/>
    <w:pPr>
      <w:spacing w:after="100"/>
      <w:ind w:left="1100"/>
    </w:pPr>
    <w:rPr>
      <w:rFonts w:eastAsiaTheme="minorEastAsia"/>
    </w:rPr>
  </w:style>
  <w:style w:type="paragraph" w:styleId="TOC7">
    <w:name w:val="toc 7"/>
    <w:basedOn w:val="Normal"/>
    <w:next w:val="Normal"/>
    <w:autoRedefine/>
    <w:uiPriority w:val="39"/>
    <w:unhideWhenUsed/>
    <w:rsid w:val="00130881"/>
    <w:pPr>
      <w:spacing w:after="100"/>
      <w:ind w:left="1320"/>
    </w:pPr>
    <w:rPr>
      <w:rFonts w:eastAsiaTheme="minorEastAsia"/>
    </w:rPr>
  </w:style>
  <w:style w:type="paragraph" w:styleId="TOC8">
    <w:name w:val="toc 8"/>
    <w:basedOn w:val="Normal"/>
    <w:next w:val="Normal"/>
    <w:autoRedefine/>
    <w:uiPriority w:val="39"/>
    <w:unhideWhenUsed/>
    <w:rsid w:val="00130881"/>
    <w:pPr>
      <w:spacing w:after="100"/>
      <w:ind w:left="1540"/>
    </w:pPr>
    <w:rPr>
      <w:rFonts w:eastAsiaTheme="minorEastAsia"/>
    </w:rPr>
  </w:style>
  <w:style w:type="paragraph" w:styleId="TOC9">
    <w:name w:val="toc 9"/>
    <w:basedOn w:val="Normal"/>
    <w:next w:val="Normal"/>
    <w:autoRedefine/>
    <w:uiPriority w:val="39"/>
    <w:unhideWhenUsed/>
    <w:rsid w:val="00130881"/>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30881"/>
    <w:rPr>
      <w:color w:val="605E5C"/>
      <w:shd w:val="clear" w:color="auto" w:fill="E1DFDD"/>
    </w:rPr>
  </w:style>
  <w:style w:type="character" w:customStyle="1" w:styleId="Heading4Char">
    <w:name w:val="Heading 4 Char"/>
    <w:basedOn w:val="DefaultParagraphFont"/>
    <w:link w:val="Heading4"/>
    <w:uiPriority w:val="9"/>
    <w:rsid w:val="008555E8"/>
    <w:rPr>
      <w:rFonts w:ascii="BPG Nino Mtavruli" w:eastAsiaTheme="majorEastAsia" w:hAnsi="BPG Nino Mtavruli" w:cstheme="majorBidi"/>
      <w:color w:val="000000" w:themeColor="text1"/>
      <w:sz w:val="21"/>
      <w:szCs w:val="21"/>
      <w:lang w:val="ka-GE"/>
    </w:rPr>
  </w:style>
  <w:style w:type="character" w:styleId="CommentReference">
    <w:name w:val="annotation reference"/>
    <w:basedOn w:val="DefaultParagraphFont"/>
    <w:uiPriority w:val="99"/>
    <w:semiHidden/>
    <w:unhideWhenUsed/>
    <w:rsid w:val="005074EE"/>
    <w:rPr>
      <w:sz w:val="16"/>
      <w:szCs w:val="16"/>
    </w:rPr>
  </w:style>
  <w:style w:type="paragraph" w:styleId="CommentText">
    <w:name w:val="annotation text"/>
    <w:basedOn w:val="Normal"/>
    <w:link w:val="CommentTextChar"/>
    <w:uiPriority w:val="99"/>
    <w:semiHidden/>
    <w:unhideWhenUsed/>
    <w:rsid w:val="005074EE"/>
    <w:pPr>
      <w:spacing w:line="240" w:lineRule="auto"/>
    </w:pPr>
    <w:rPr>
      <w:sz w:val="20"/>
      <w:szCs w:val="20"/>
    </w:rPr>
  </w:style>
  <w:style w:type="character" w:customStyle="1" w:styleId="CommentTextChar">
    <w:name w:val="Comment Text Char"/>
    <w:basedOn w:val="DefaultParagraphFont"/>
    <w:link w:val="CommentText"/>
    <w:uiPriority w:val="99"/>
    <w:semiHidden/>
    <w:rsid w:val="005074EE"/>
    <w:rPr>
      <w:sz w:val="20"/>
      <w:szCs w:val="20"/>
    </w:rPr>
  </w:style>
  <w:style w:type="paragraph" w:styleId="CommentSubject">
    <w:name w:val="annotation subject"/>
    <w:basedOn w:val="CommentText"/>
    <w:next w:val="CommentText"/>
    <w:link w:val="CommentSubjectChar"/>
    <w:uiPriority w:val="99"/>
    <w:semiHidden/>
    <w:unhideWhenUsed/>
    <w:rsid w:val="005074EE"/>
    <w:rPr>
      <w:b/>
      <w:bCs/>
    </w:rPr>
  </w:style>
  <w:style w:type="character" w:customStyle="1" w:styleId="CommentSubjectChar">
    <w:name w:val="Comment Subject Char"/>
    <w:basedOn w:val="CommentTextChar"/>
    <w:link w:val="CommentSubject"/>
    <w:uiPriority w:val="99"/>
    <w:semiHidden/>
    <w:rsid w:val="005074EE"/>
    <w:rPr>
      <w:b/>
      <w:bCs/>
      <w:sz w:val="20"/>
      <w:szCs w:val="20"/>
    </w:rPr>
  </w:style>
  <w:style w:type="paragraph" w:styleId="FootnoteText">
    <w:name w:val="footnote text"/>
    <w:basedOn w:val="Normal"/>
    <w:link w:val="FootnoteTextChar"/>
    <w:uiPriority w:val="99"/>
    <w:semiHidden/>
    <w:unhideWhenUsed/>
    <w:rsid w:val="000D0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826"/>
    <w:rPr>
      <w:sz w:val="20"/>
      <w:szCs w:val="20"/>
    </w:rPr>
  </w:style>
  <w:style w:type="character" w:styleId="FootnoteReference">
    <w:name w:val="footnote reference"/>
    <w:basedOn w:val="DefaultParagraphFont"/>
    <w:uiPriority w:val="99"/>
    <w:semiHidden/>
    <w:unhideWhenUsed/>
    <w:rsid w:val="000D0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501">
      <w:bodyDiv w:val="1"/>
      <w:marLeft w:val="0"/>
      <w:marRight w:val="0"/>
      <w:marTop w:val="0"/>
      <w:marBottom w:val="0"/>
      <w:divBdr>
        <w:top w:val="none" w:sz="0" w:space="0" w:color="auto"/>
        <w:left w:val="none" w:sz="0" w:space="0" w:color="auto"/>
        <w:bottom w:val="none" w:sz="0" w:space="0" w:color="auto"/>
        <w:right w:val="none" w:sz="0" w:space="0" w:color="auto"/>
      </w:divBdr>
    </w:div>
    <w:div w:id="129903952">
      <w:bodyDiv w:val="1"/>
      <w:marLeft w:val="0"/>
      <w:marRight w:val="0"/>
      <w:marTop w:val="0"/>
      <w:marBottom w:val="0"/>
      <w:divBdr>
        <w:top w:val="none" w:sz="0" w:space="0" w:color="auto"/>
        <w:left w:val="none" w:sz="0" w:space="0" w:color="auto"/>
        <w:bottom w:val="none" w:sz="0" w:space="0" w:color="auto"/>
        <w:right w:val="none" w:sz="0" w:space="0" w:color="auto"/>
      </w:divBdr>
    </w:div>
    <w:div w:id="212012513">
      <w:bodyDiv w:val="1"/>
      <w:marLeft w:val="0"/>
      <w:marRight w:val="0"/>
      <w:marTop w:val="0"/>
      <w:marBottom w:val="0"/>
      <w:divBdr>
        <w:top w:val="none" w:sz="0" w:space="0" w:color="auto"/>
        <w:left w:val="none" w:sz="0" w:space="0" w:color="auto"/>
        <w:bottom w:val="none" w:sz="0" w:space="0" w:color="auto"/>
        <w:right w:val="none" w:sz="0" w:space="0" w:color="auto"/>
      </w:divBdr>
    </w:div>
    <w:div w:id="1250889412">
      <w:bodyDiv w:val="1"/>
      <w:marLeft w:val="0"/>
      <w:marRight w:val="0"/>
      <w:marTop w:val="0"/>
      <w:marBottom w:val="0"/>
      <w:divBdr>
        <w:top w:val="none" w:sz="0" w:space="0" w:color="auto"/>
        <w:left w:val="none" w:sz="0" w:space="0" w:color="auto"/>
        <w:bottom w:val="none" w:sz="0" w:space="0" w:color="auto"/>
        <w:right w:val="none" w:sz="0" w:space="0" w:color="auto"/>
      </w:divBdr>
    </w:div>
    <w:div w:id="1417635162">
      <w:bodyDiv w:val="1"/>
      <w:marLeft w:val="0"/>
      <w:marRight w:val="0"/>
      <w:marTop w:val="0"/>
      <w:marBottom w:val="0"/>
      <w:divBdr>
        <w:top w:val="none" w:sz="0" w:space="0" w:color="auto"/>
        <w:left w:val="none" w:sz="0" w:space="0" w:color="auto"/>
        <w:bottom w:val="none" w:sz="0" w:space="0" w:color="auto"/>
        <w:right w:val="none" w:sz="0" w:space="0" w:color="auto"/>
      </w:divBdr>
    </w:div>
    <w:div w:id="1647121953">
      <w:bodyDiv w:val="1"/>
      <w:marLeft w:val="0"/>
      <w:marRight w:val="0"/>
      <w:marTop w:val="0"/>
      <w:marBottom w:val="0"/>
      <w:divBdr>
        <w:top w:val="none" w:sz="0" w:space="0" w:color="auto"/>
        <w:left w:val="none" w:sz="0" w:space="0" w:color="auto"/>
        <w:bottom w:val="none" w:sz="0" w:space="0" w:color="auto"/>
        <w:right w:val="none" w:sz="0" w:space="0" w:color="auto"/>
      </w:divBdr>
    </w:div>
    <w:div w:id="1849900792">
      <w:bodyDiv w:val="1"/>
      <w:marLeft w:val="0"/>
      <w:marRight w:val="0"/>
      <w:marTop w:val="0"/>
      <w:marBottom w:val="0"/>
      <w:divBdr>
        <w:top w:val="none" w:sz="0" w:space="0" w:color="auto"/>
        <w:left w:val="none" w:sz="0" w:space="0" w:color="auto"/>
        <w:bottom w:val="none" w:sz="0" w:space="0" w:color="auto"/>
        <w:right w:val="none" w:sz="0" w:space="0" w:color="auto"/>
      </w:divBdr>
    </w:div>
    <w:div w:id="2002805527">
      <w:bodyDiv w:val="1"/>
      <w:marLeft w:val="0"/>
      <w:marRight w:val="0"/>
      <w:marTop w:val="0"/>
      <w:marBottom w:val="0"/>
      <w:divBdr>
        <w:top w:val="none" w:sz="0" w:space="0" w:color="auto"/>
        <w:left w:val="none" w:sz="0" w:space="0" w:color="auto"/>
        <w:bottom w:val="none" w:sz="0" w:space="0" w:color="auto"/>
        <w:right w:val="none" w:sz="0" w:space="0" w:color="auto"/>
      </w:divBdr>
    </w:div>
    <w:div w:id="21165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D:\teona.labadze\Desktop\2023%20FRS%20Chart%20sen%2010_1.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72679578176091E-2"/>
          <c:y val="5.7516339869281043E-2"/>
          <c:w val="0.91294485480394116"/>
          <c:h val="0.73817837476197823"/>
        </c:manualLayout>
      </c:layout>
      <c:barChart>
        <c:barDir val="col"/>
        <c:grouping val="clustered"/>
        <c:varyColors val="0"/>
        <c:ser>
          <c:idx val="0"/>
          <c:order val="0"/>
          <c:tx>
            <c:strRef>
              <c:f>[growth.xlsx]Sheet2!$B$2</c:f>
              <c:strCache>
                <c:ptCount val="1"/>
                <c:pt idx="0">
                  <c:v>განვითარებული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[growth.xlsx]Sheet2!$A$3:$A$6</c:f>
              <c:numCache>
                <c:formatCode>General</c:formatCode>
                <c:ptCount val="4"/>
                <c:pt idx="0">
                  <c:v>2020</c:v>
                </c:pt>
                <c:pt idx="1">
                  <c:v>2021</c:v>
                </c:pt>
                <c:pt idx="2">
                  <c:v>2022</c:v>
                </c:pt>
                <c:pt idx="3">
                  <c:v>2023</c:v>
                </c:pt>
              </c:numCache>
            </c:numRef>
          </c:cat>
          <c:val>
            <c:numRef>
              <c:f>[growth.xlsx]Sheet2!$B$3:$B$6</c:f>
              <c:numCache>
                <c:formatCode>0.0%</c:formatCode>
                <c:ptCount val="4"/>
                <c:pt idx="0">
                  <c:v>-4.4039999999999996E-2</c:v>
                </c:pt>
                <c:pt idx="1">
                  <c:v>5.1970000000000002E-2</c:v>
                </c:pt>
                <c:pt idx="2">
                  <c:v>2.427E-2</c:v>
                </c:pt>
                <c:pt idx="3">
                  <c:v>1.107E-2</c:v>
                </c:pt>
              </c:numCache>
            </c:numRef>
          </c:val>
          <c:extLst>
            <c:ext xmlns:c16="http://schemas.microsoft.com/office/drawing/2014/chart" uri="{C3380CC4-5D6E-409C-BE32-E72D297353CC}">
              <c16:uniqueId val="{00000000-8C0B-46A6-A0B1-BA784B30D8AE}"/>
            </c:ext>
          </c:extLst>
        </c:ser>
        <c:ser>
          <c:idx val="1"/>
          <c:order val="1"/>
          <c:tx>
            <c:strRef>
              <c:f>[growth.xlsx]Sheet2!$C$2</c:f>
              <c:strCache>
                <c:ptCount val="1"/>
                <c:pt idx="0">
                  <c:v>განვითარებადი</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[growth.xlsx]Sheet2!$A$3:$A$6</c:f>
              <c:numCache>
                <c:formatCode>General</c:formatCode>
                <c:ptCount val="4"/>
                <c:pt idx="0">
                  <c:v>2020</c:v>
                </c:pt>
                <c:pt idx="1">
                  <c:v>2021</c:v>
                </c:pt>
                <c:pt idx="2">
                  <c:v>2022</c:v>
                </c:pt>
                <c:pt idx="3">
                  <c:v>2023</c:v>
                </c:pt>
              </c:numCache>
            </c:numRef>
          </c:cat>
          <c:val>
            <c:numRef>
              <c:f>[growth.xlsx]Sheet2!$C$3:$C$6</c:f>
              <c:numCache>
                <c:formatCode>0.0%</c:formatCode>
                <c:ptCount val="4"/>
                <c:pt idx="0">
                  <c:v>-1.8919999999999999E-2</c:v>
                </c:pt>
                <c:pt idx="1">
                  <c:v>6.6170000000000007E-2</c:v>
                </c:pt>
                <c:pt idx="2">
                  <c:v>3.7379999999999997E-2</c:v>
                </c:pt>
                <c:pt idx="3">
                  <c:v>3.7339999999999998E-2</c:v>
                </c:pt>
              </c:numCache>
            </c:numRef>
          </c:val>
          <c:extLst>
            <c:ext xmlns:c16="http://schemas.microsoft.com/office/drawing/2014/chart" uri="{C3380CC4-5D6E-409C-BE32-E72D297353CC}">
              <c16:uniqueId val="{00000001-8C0B-46A6-A0B1-BA784B30D8AE}"/>
            </c:ext>
          </c:extLst>
        </c:ser>
        <c:dLbls>
          <c:showLegendKey val="0"/>
          <c:showVal val="0"/>
          <c:showCatName val="0"/>
          <c:showSerName val="0"/>
          <c:showPercent val="0"/>
          <c:showBubbleSize val="0"/>
        </c:dLbls>
        <c:gapWidth val="50"/>
        <c:axId val="1879780015"/>
        <c:axId val="1878873599"/>
      </c:barChart>
      <c:catAx>
        <c:axId val="1879780015"/>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873599"/>
        <c:crosses val="autoZero"/>
        <c:auto val="1"/>
        <c:lblAlgn val="ctr"/>
        <c:lblOffset val="100"/>
        <c:noMultiLvlLbl val="0"/>
      </c:catAx>
      <c:valAx>
        <c:axId val="1878873599"/>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780015"/>
        <c:crosses val="autoZero"/>
        <c:crossBetween val="between"/>
      </c:valAx>
      <c:spPr>
        <a:noFill/>
        <a:ln>
          <a:noFill/>
        </a:ln>
        <a:effectLst/>
      </c:spPr>
    </c:plotArea>
    <c:legend>
      <c:legendPos val="b"/>
      <c:layout>
        <c:manualLayout>
          <c:xMode val="edge"/>
          <c:yMode val="edge"/>
          <c:x val="0.29218944443165412"/>
          <c:y val="0.89607781380268647"/>
          <c:w val="0.40682748727564361"/>
          <c:h val="8.8235911687509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18600191754554E-2"/>
          <c:y val="4.4900577293136623E-2"/>
          <c:w val="0.91562799616490886"/>
          <c:h val="0.8182056941407021"/>
        </c:manualLayout>
      </c:layout>
      <c:lineChart>
        <c:grouping val="standard"/>
        <c:varyColors val="0"/>
        <c:ser>
          <c:idx val="0"/>
          <c:order val="0"/>
          <c:tx>
            <c:strRef>
              <c:f>Sheet1!$B$1</c:f>
              <c:strCache>
                <c:ptCount val="1"/>
                <c:pt idx="0">
                  <c:v>ეკონომიკური ზრდა</c:v>
                </c:pt>
              </c:strCache>
            </c:strRef>
          </c:tx>
          <c:spPr>
            <a:ln w="19050" cap="rnd">
              <a:solidFill>
                <a:srgbClr val="00B0F0"/>
              </a:solidFill>
              <a:round/>
            </a:ln>
            <a:effectLst/>
          </c:spPr>
          <c:marker>
            <c:symbol val="none"/>
          </c:marker>
          <c:dLbls>
            <c:dLbl>
              <c:idx val="1"/>
              <c:layout>
                <c:manualLayout>
                  <c:x val="-7.5522606654034014E-2"/>
                  <c:y val="-5.4474148075942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9D-4773-A990-4302383918E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0.10465537207639986</c:v>
                </c:pt>
                <c:pt idx="1">
                  <c:v>0.10600010027953477</c:v>
                </c:pt>
                <c:pt idx="2">
                  <c:v>6.3000190698453196E-2</c:v>
                </c:pt>
                <c:pt idx="3">
                  <c:v>6.4999528407601703E-2</c:v>
                </c:pt>
                <c:pt idx="4">
                  <c:v>6.5000429524231906E-2</c:v>
                </c:pt>
                <c:pt idx="5">
                  <c:v>6.2999761355404971E-2</c:v>
                </c:pt>
              </c:numCache>
            </c:numRef>
          </c:val>
          <c:smooth val="0"/>
          <c:extLst>
            <c:ext xmlns:c16="http://schemas.microsoft.com/office/drawing/2014/chart" uri="{C3380CC4-5D6E-409C-BE32-E72D297353CC}">
              <c16:uniqueId val="{00000000-265F-418E-98C0-4FEBC5B6E499}"/>
            </c:ext>
          </c:extLst>
        </c:ser>
        <c:dLbls>
          <c:showLegendKey val="0"/>
          <c:showVal val="0"/>
          <c:showCatName val="0"/>
          <c:showSerName val="0"/>
          <c:showPercent val="0"/>
          <c:showBubbleSize val="0"/>
        </c:dLbls>
        <c:smooth val="0"/>
        <c:axId val="1868257552"/>
        <c:axId val="1868259728"/>
      </c:lineChart>
      <c:catAx>
        <c:axId val="1868257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59728"/>
        <c:crosses val="autoZero"/>
        <c:auto val="1"/>
        <c:lblAlgn val="ctr"/>
        <c:lblOffset val="100"/>
        <c:noMultiLvlLbl val="0"/>
      </c:catAx>
      <c:valAx>
        <c:axId val="1868259728"/>
        <c:scaling>
          <c:orientation val="minMax"/>
        </c:scaling>
        <c:delete val="1"/>
        <c:axPos val="l"/>
        <c:numFmt formatCode="0.0%" sourceLinked="1"/>
        <c:majorTickMark val="none"/>
        <c:minorTickMark val="none"/>
        <c:tickLblPos val="nextTo"/>
        <c:crossAx val="1868257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'[გრაფიკები (excell).xlsx]Sheet1'!$N$3</c:f>
              <c:strCache>
                <c:ptCount val="1"/>
                <c:pt idx="0">
                  <c:v>წლიური</c:v>
                </c:pt>
              </c:strCache>
            </c:strRef>
          </c:tx>
          <c:spPr>
            <a:solidFill>
              <a:schemeClr val="accent5">
                <a:lumMod val="75000"/>
              </a:schemeClr>
            </a:solidFill>
            <a:ln>
              <a:noFill/>
            </a:ln>
            <a:effectLst/>
          </c:spPr>
          <c:invertIfNegative val="0"/>
          <c:dLbls>
            <c:dLbl>
              <c:idx val="2"/>
              <c:layout>
                <c:manualLayout>
                  <c:x val="-9.5129375951293754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D5-4401-B6D5-267FBA47BF4C}"/>
                </c:ext>
              </c:extLst>
            </c:dLbl>
            <c:dLbl>
              <c:idx val="3"/>
              <c:layout>
                <c:manualLayout>
                  <c:x val="-5.7077625570776253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D5-4401-B6D5-267FBA47BF4C}"/>
                </c:ext>
              </c:extLst>
            </c:dLbl>
            <c:dLbl>
              <c:idx val="4"/>
              <c:layout>
                <c:manualLayout>
                  <c:x val="-9.5129375951293754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D5-4401-B6D5-267FBA47BF4C}"/>
                </c:ext>
              </c:extLst>
            </c:dLbl>
            <c:dLbl>
              <c:idx val="5"/>
              <c:layout>
                <c:manualLayout>
                  <c:x val="-5.7077625570776253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D5-4401-B6D5-267FBA47BF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'[გრაფიკები (excell).xlsx]Sheet1'!$H$4:$H$13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'[გრაფიკები (excell).xlsx]Sheet1'!$N$4:$N$13</c:f>
              <c:numCache>
                <c:formatCode>0.0%</c:formatCode>
                <c:ptCount val="10"/>
                <c:pt idx="0">
                  <c:v>0.13943024289203176</c:v>
                </c:pt>
                <c:pt idx="1">
                  <c:v>0.13732986102215294</c:v>
                </c:pt>
                <c:pt idx="2">
                  <c:v>0.11842452429547357</c:v>
                </c:pt>
                <c:pt idx="3">
                  <c:v>0.12844519361826801</c:v>
                </c:pt>
                <c:pt idx="4">
                  <c:v>0.13292661227437574</c:v>
                </c:pt>
                <c:pt idx="5">
                  <c:v>0.1279031228757439</c:v>
                </c:pt>
                <c:pt idx="6">
                  <c:v>0.1154876293254079</c:v>
                </c:pt>
                <c:pt idx="7">
                  <c:v>0.1087803446759299</c:v>
                </c:pt>
                <c:pt idx="8">
                  <c:v>0.11492982656140005</c:v>
                </c:pt>
                <c:pt idx="9">
                  <c:v>0.10649845151072435</c:v>
                </c:pt>
              </c:numCache>
            </c:numRef>
          </c:val>
          <c:extLst>
            <c:ext xmlns:c16="http://schemas.microsoft.com/office/drawing/2014/chart" uri="{C3380CC4-5D6E-409C-BE32-E72D297353CC}">
              <c16:uniqueId val="{00000004-92D5-4401-B6D5-267FBA47BF4C}"/>
            </c:ext>
          </c:extLst>
        </c:ser>
        <c:ser>
          <c:idx val="1"/>
          <c:order val="1"/>
          <c:tx>
            <c:strRef>
              <c:f>'[გრაფიკები (excell).xlsx]Sheet1'!$O$3</c:f>
              <c:strCache>
                <c:ptCount val="1"/>
                <c:pt idx="0">
                  <c:v>თვე-თვესთან, ანუალიზებული</c:v>
                </c:pt>
              </c:strCache>
            </c:strRef>
          </c:tx>
          <c:spPr>
            <a:solidFill>
              <a:schemeClr val="accent2">
                <a:lumMod val="60000"/>
                <a:lumOff val="40000"/>
              </a:schemeClr>
            </a:solidFill>
            <a:ln>
              <a:noFill/>
            </a:ln>
            <a:effectLst/>
          </c:spPr>
          <c:invertIfNegative val="0"/>
          <c:cat>
            <c:strRef>
              <c:f>'[გრაფიკები (excell).xlsx]Sheet1'!$H$4:$H$13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'[გრაფიკები (excell).xlsx]Sheet1'!$O$4:$O$13</c:f>
              <c:numCache>
                <c:formatCode>0.0%</c:formatCode>
                <c:ptCount val="10"/>
                <c:pt idx="0">
                  <c:v>8.1235403810267393E-2</c:v>
                </c:pt>
                <c:pt idx="1">
                  <c:v>0.10837050125073344</c:v>
                </c:pt>
                <c:pt idx="2">
                  <c:v>0.23686398972501022</c:v>
                </c:pt>
                <c:pt idx="3">
                  <c:v>0.16523948810421651</c:v>
                </c:pt>
                <c:pt idx="4">
                  <c:v>0.16448579301969435</c:v>
                </c:pt>
                <c:pt idx="5">
                  <c:v>0.16504192436509846</c:v>
                </c:pt>
                <c:pt idx="6">
                  <c:v>0.10479391975127816</c:v>
                </c:pt>
                <c:pt idx="7">
                  <c:v>2.566485962069498E-2</c:v>
                </c:pt>
                <c:pt idx="8">
                  <c:v>6.7903078008600959E-2</c:v>
                </c:pt>
                <c:pt idx="9">
                  <c:v>2.6917184254960036E-2</c:v>
                </c:pt>
              </c:numCache>
            </c:numRef>
          </c:val>
          <c:extLst>
            <c:ext xmlns:c16="http://schemas.microsoft.com/office/drawing/2014/chart" uri="{C3380CC4-5D6E-409C-BE32-E72D297353CC}">
              <c16:uniqueId val="{00000005-92D5-4401-B6D5-267FBA47BF4C}"/>
            </c:ext>
          </c:extLst>
        </c:ser>
        <c:dLbls>
          <c:showLegendKey val="0"/>
          <c:showVal val="0"/>
          <c:showCatName val="0"/>
          <c:showSerName val="0"/>
          <c:showPercent val="0"/>
          <c:showBubbleSize val="0"/>
        </c:dLbls>
        <c:gapWidth val="100"/>
        <c:axId val="946563648"/>
        <c:axId val="946565312"/>
      </c:barChart>
      <c:lineChart>
        <c:grouping val="standard"/>
        <c:varyColors val="0"/>
        <c:ser>
          <c:idx val="2"/>
          <c:order val="2"/>
          <c:tx>
            <c:strRef>
              <c:f>'[გრაფიკები (excell).xlsx]Sheet1'!$P$3</c:f>
              <c:strCache>
                <c:ptCount val="1"/>
                <c:pt idx="0">
                  <c:v>მიზნობრივი</c:v>
                </c:pt>
              </c:strCache>
            </c:strRef>
          </c:tx>
          <c:spPr>
            <a:ln w="28575" cap="rnd">
              <a:solidFill>
                <a:srgbClr val="FF0000"/>
              </a:solidFill>
              <a:prstDash val="sysDot"/>
              <a:round/>
            </a:ln>
            <a:effectLst/>
          </c:spPr>
          <c:marker>
            <c:symbol val="none"/>
          </c:marker>
          <c:cat>
            <c:strRef>
              <c:f>'[გრაფიკები (excell).xlsx]Sheet1'!$H$4:$H$13</c:f>
              <c:strCache>
                <c:ptCount val="10"/>
                <c:pt idx="0">
                  <c:v>იან</c:v>
                </c:pt>
                <c:pt idx="1">
                  <c:v>თებ</c:v>
                </c:pt>
                <c:pt idx="2">
                  <c:v>მარ</c:v>
                </c:pt>
                <c:pt idx="3">
                  <c:v>აპრ</c:v>
                </c:pt>
                <c:pt idx="4">
                  <c:v>მაი</c:v>
                </c:pt>
                <c:pt idx="5">
                  <c:v>ივნ</c:v>
                </c:pt>
                <c:pt idx="6">
                  <c:v>ივლ</c:v>
                </c:pt>
                <c:pt idx="7">
                  <c:v>აგვ</c:v>
                </c:pt>
                <c:pt idx="8">
                  <c:v>სექ</c:v>
                </c:pt>
                <c:pt idx="9">
                  <c:v>ოქტ</c:v>
                </c:pt>
              </c:strCache>
            </c:strRef>
          </c:cat>
          <c:val>
            <c:numRef>
              <c:f>'[გრაფიკები (excell).xlsx]Sheet1'!$P$4:$P$13</c:f>
              <c:numCache>
                <c:formatCode>0.0%</c:formatCode>
                <c:ptCount val="10"/>
                <c:pt idx="0">
                  <c:v>0.03</c:v>
                </c:pt>
                <c:pt idx="1">
                  <c:v>0.03</c:v>
                </c:pt>
                <c:pt idx="2">
                  <c:v>0.03</c:v>
                </c:pt>
                <c:pt idx="3">
                  <c:v>0.03</c:v>
                </c:pt>
                <c:pt idx="4">
                  <c:v>0.03</c:v>
                </c:pt>
                <c:pt idx="5">
                  <c:v>0.03</c:v>
                </c:pt>
                <c:pt idx="6">
                  <c:v>0.03</c:v>
                </c:pt>
                <c:pt idx="7">
                  <c:v>0.03</c:v>
                </c:pt>
                <c:pt idx="8">
                  <c:v>0.03</c:v>
                </c:pt>
                <c:pt idx="9">
                  <c:v>0.03</c:v>
                </c:pt>
              </c:numCache>
            </c:numRef>
          </c:val>
          <c:smooth val="0"/>
          <c:extLst>
            <c:ext xmlns:c16="http://schemas.microsoft.com/office/drawing/2014/chart" uri="{C3380CC4-5D6E-409C-BE32-E72D297353CC}">
              <c16:uniqueId val="{00000006-92D5-4401-B6D5-267FBA47BF4C}"/>
            </c:ext>
          </c:extLst>
        </c:ser>
        <c:dLbls>
          <c:showLegendKey val="0"/>
          <c:showVal val="0"/>
          <c:showCatName val="0"/>
          <c:showSerName val="0"/>
          <c:showPercent val="0"/>
          <c:showBubbleSize val="0"/>
        </c:dLbls>
        <c:marker val="1"/>
        <c:smooth val="0"/>
        <c:axId val="946563648"/>
        <c:axId val="946565312"/>
      </c:lineChart>
      <c:catAx>
        <c:axId val="9465636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5312"/>
        <c:crosses val="autoZero"/>
        <c:auto val="1"/>
        <c:lblAlgn val="ctr"/>
        <c:lblOffset val="100"/>
        <c:noMultiLvlLbl val="0"/>
      </c:catAx>
      <c:valAx>
        <c:axId val="946565312"/>
        <c:scaling>
          <c:orientation val="minMax"/>
          <c:min val="-5.000000000000001E-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56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3"/>
            <c:invertIfNegative val="0"/>
            <c:bubble3D val="0"/>
            <c:spPr>
              <a:solidFill>
                <a:srgbClr val="FF0000"/>
              </a:solidFill>
              <a:ln>
                <a:noFill/>
              </a:ln>
              <a:effectLst/>
            </c:spPr>
            <c:extLst>
              <c:ext xmlns:c16="http://schemas.microsoft.com/office/drawing/2014/chart" uri="{C3380CC4-5D6E-409C-BE32-E72D297353CC}">
                <c16:uniqueId val="{00000001-57BA-478C-A244-B554F0ECBAAD}"/>
              </c:ext>
            </c:extLst>
          </c:dPt>
          <c:dPt>
            <c:idx val="7"/>
            <c:invertIfNegative val="0"/>
            <c:bubble3D val="0"/>
            <c:spPr>
              <a:solidFill>
                <a:srgbClr val="FF0000"/>
              </a:solidFill>
              <a:ln>
                <a:noFill/>
              </a:ln>
              <a:effectLst/>
            </c:spPr>
            <c:extLst>
              <c:ext xmlns:c16="http://schemas.microsoft.com/office/drawing/2014/chart" uri="{C3380CC4-5D6E-409C-BE32-E72D297353CC}">
                <c16:uniqueId val="{00000003-57BA-478C-A244-B554F0ECBAAD}"/>
              </c:ext>
            </c:extLst>
          </c:dPt>
          <c:dPt>
            <c:idx val="11"/>
            <c:invertIfNegative val="0"/>
            <c:bubble3D val="0"/>
            <c:spPr>
              <a:solidFill>
                <a:srgbClr val="FF0000"/>
              </a:solidFill>
              <a:ln>
                <a:noFill/>
              </a:ln>
              <a:effectLst/>
            </c:spPr>
            <c:extLst>
              <c:ext xmlns:c16="http://schemas.microsoft.com/office/drawing/2014/chart" uri="{C3380CC4-5D6E-409C-BE32-E72D297353CC}">
                <c16:uniqueId val="{00000005-57BA-478C-A244-B554F0ECBAAD}"/>
              </c:ext>
            </c:extLst>
          </c:dPt>
          <c:dPt>
            <c:idx val="1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57BA-478C-A244-B554F0ECBAA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[growth.xlsx]Sheet1!$A$2:$A$16</c:f>
              <c:strCache>
                <c:ptCount val="15"/>
                <c:pt idx="0">
                  <c:v>იანვარი</c:v>
                </c:pt>
                <c:pt idx="1">
                  <c:v>თებერვალი</c:v>
                </c:pt>
                <c:pt idx="2">
                  <c:v>მარტი</c:v>
                </c:pt>
                <c:pt idx="3">
                  <c:v>I კვარტალი</c:v>
                </c:pt>
                <c:pt idx="4">
                  <c:v>აპრილი</c:v>
                </c:pt>
                <c:pt idx="5">
                  <c:v>მაისი</c:v>
                </c:pt>
                <c:pt idx="6">
                  <c:v>ივნისი</c:v>
                </c:pt>
                <c:pt idx="7">
                  <c:v>II კვარტალი</c:v>
                </c:pt>
                <c:pt idx="8">
                  <c:v>ივლისი</c:v>
                </c:pt>
                <c:pt idx="9">
                  <c:v>აგვისტო</c:v>
                </c:pt>
                <c:pt idx="10">
                  <c:v>სექტემბერი</c:v>
                </c:pt>
                <c:pt idx="11">
                  <c:v>III კვარტალი</c:v>
                </c:pt>
                <c:pt idx="12">
                  <c:v>ოქტომბერი</c:v>
                </c:pt>
                <c:pt idx="14">
                  <c:v>წლიური</c:v>
                </c:pt>
              </c:strCache>
            </c:strRef>
          </c:cat>
          <c:val>
            <c:numRef>
              <c:f>[growth.xlsx]Sheet1!$B$2:$B$16</c:f>
              <c:numCache>
                <c:formatCode>0.0%</c:formatCode>
                <c:ptCount val="15"/>
                <c:pt idx="0">
                  <c:v>0.18</c:v>
                </c:pt>
                <c:pt idx="1">
                  <c:v>0.14599999999999999</c:v>
                </c:pt>
                <c:pt idx="2">
                  <c:v>0.106</c:v>
                </c:pt>
                <c:pt idx="3">
                  <c:v>0.15</c:v>
                </c:pt>
                <c:pt idx="4">
                  <c:v>2.5999999999999999E-2</c:v>
                </c:pt>
                <c:pt idx="5">
                  <c:v>0.11600000000000001</c:v>
                </c:pt>
                <c:pt idx="6">
                  <c:v>7.1999999999999995E-2</c:v>
                </c:pt>
                <c:pt idx="7">
                  <c:v>7.1999999999999995E-2</c:v>
                </c:pt>
                <c:pt idx="8">
                  <c:v>9.7000000000000003E-2</c:v>
                </c:pt>
                <c:pt idx="9">
                  <c:v>0.105</c:v>
                </c:pt>
                <c:pt idx="10">
                  <c:v>8.7999999999999995E-2</c:v>
                </c:pt>
                <c:pt idx="11">
                  <c:v>9.7000000000000003E-2</c:v>
                </c:pt>
                <c:pt idx="12">
                  <c:v>8.3000000000000004E-2</c:v>
                </c:pt>
                <c:pt idx="14">
                  <c:v>0.1</c:v>
                </c:pt>
              </c:numCache>
            </c:numRef>
          </c:val>
          <c:extLst>
            <c:ext xmlns:c16="http://schemas.microsoft.com/office/drawing/2014/chart" uri="{C3380CC4-5D6E-409C-BE32-E72D297353CC}">
              <c16:uniqueId val="{00000008-57BA-478C-A244-B554F0ECBAAD}"/>
            </c:ext>
          </c:extLst>
        </c:ser>
        <c:dLbls>
          <c:showLegendKey val="0"/>
          <c:showVal val="0"/>
          <c:showCatName val="0"/>
          <c:showSerName val="0"/>
          <c:showPercent val="0"/>
          <c:showBubbleSize val="0"/>
        </c:dLbls>
        <c:gapWidth val="100"/>
        <c:overlap val="-27"/>
        <c:axId val="621091504"/>
        <c:axId val="621092752"/>
      </c:barChart>
      <c:catAx>
        <c:axId val="62109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2752"/>
        <c:crosses val="autoZero"/>
        <c:auto val="1"/>
        <c:lblAlgn val="ctr"/>
        <c:lblOffset val="100"/>
        <c:noMultiLvlLbl val="0"/>
      </c:catAx>
      <c:valAx>
        <c:axId val="6210927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0915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'მიმდინარე ანგარიშის ტექსტი'!$D$4</c:f>
              <c:strCache>
                <c:ptCount val="1"/>
                <c:pt idx="0">
                  <c:v>პროგნოზი</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'მიმდინარე ანგარიშის ტექსტი'!$B$5:$B$15</c:f>
              <c:numCache>
                <c:formatCode>General</c:formatCode>
                <c:ptCount val="11"/>
                <c:pt idx="1">
                  <c:v>2010</c:v>
                </c:pt>
                <c:pt idx="2">
                  <c:v>2011</c:v>
                </c:pt>
                <c:pt idx="3">
                  <c:v>2012</c:v>
                </c:pt>
                <c:pt idx="4">
                  <c:v>2013</c:v>
                </c:pt>
                <c:pt idx="5">
                  <c:v>2014</c:v>
                </c:pt>
                <c:pt idx="6">
                  <c:v>2015</c:v>
                </c:pt>
                <c:pt idx="7">
                  <c:v>2016</c:v>
                </c:pt>
                <c:pt idx="8">
                  <c:v>2017</c:v>
                </c:pt>
                <c:pt idx="9">
                  <c:v>2018</c:v>
                </c:pt>
                <c:pt idx="10">
                  <c:v>2019</c:v>
                </c:pt>
              </c:numCache>
            </c:numRef>
          </c:cat>
          <c:val>
            <c:numRef>
              <c:f>'მიმდინარე ანგარიშის ტექსტი'!$D$5:$D$19</c:f>
              <c:numCache>
                <c:formatCode>General</c:formatCode>
                <c:ptCount val="15"/>
                <c:pt idx="14" formatCode="0.0%">
                  <c:v>5.66799827500752E-2</c:v>
                </c:pt>
              </c:numCache>
            </c:numRef>
          </c:val>
          <c:extLst>
            <c:ext xmlns:c16="http://schemas.microsoft.com/office/drawing/2014/chart" uri="{C3380CC4-5D6E-409C-BE32-E72D297353CC}">
              <c16:uniqueId val="{00000000-A0CB-45BE-B3F6-F53F08463521}"/>
            </c:ext>
          </c:extLst>
        </c:ser>
        <c:dLbls>
          <c:showLegendKey val="0"/>
          <c:showVal val="0"/>
          <c:showCatName val="0"/>
          <c:showSerName val="0"/>
          <c:showPercent val="0"/>
          <c:showBubbleSize val="0"/>
        </c:dLbls>
        <c:gapWidth val="50"/>
        <c:axId val="654313792"/>
        <c:axId val="702014496"/>
      </c:barChart>
      <c:lineChart>
        <c:grouping val="standard"/>
        <c:varyColors val="0"/>
        <c:ser>
          <c:idx val="0"/>
          <c:order val="0"/>
          <c:tx>
            <c:strRef>
              <c:f>'მიმდინარე ანგარიშის ტექსტი'!$C$4</c:f>
              <c:strCache>
                <c:ptCount val="1"/>
                <c:pt idx="0">
                  <c:v>ფაქტობრივი</c:v>
                </c:pt>
              </c:strCache>
            </c:strRef>
          </c:tx>
          <c:spPr>
            <a:ln w="28575" cap="rnd">
              <a:solidFill>
                <a:srgbClr val="009999"/>
              </a:solidFill>
              <a:round/>
            </a:ln>
            <a:effectLst/>
          </c:spPr>
          <c:marker>
            <c:symbol val="none"/>
          </c:marker>
          <c:dLbls>
            <c:dLbl>
              <c:idx val="3"/>
              <c:layout>
                <c:manualLayout>
                  <c:x val="-5.6419668555923265E-2"/>
                  <c:y val="6.5841769778777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CB-45BE-B3F6-F53F08463521}"/>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CB-45BE-B3F6-F53F08463521}"/>
                </c:ext>
              </c:extLst>
            </c:dLbl>
            <c:dLbl>
              <c:idx val="7"/>
              <c:layout>
                <c:manualLayout>
                  <c:x val="-3.4479221347331585E-2"/>
                  <c:y val="-6.7094998541848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CB-45BE-B3F6-F53F08463521}"/>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CB-45BE-B3F6-F53F084635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'მიმდინარე ანგარიშის ტექსტი'!$B$5:$B$19</c:f>
              <c:numCache>
                <c:formatCode>General</c:formatCode>
                <c:ptCount val="15"/>
                <c:pt idx="1">
                  <c:v>2010</c:v>
                </c:pt>
                <c:pt idx="2">
                  <c:v>2011</c:v>
                </c:pt>
                <c:pt idx="3">
                  <c:v>2012</c:v>
                </c:pt>
                <c:pt idx="4">
                  <c:v>2013</c:v>
                </c:pt>
                <c:pt idx="5">
                  <c:v>2014</c:v>
                </c:pt>
                <c:pt idx="6">
                  <c:v>2015</c:v>
                </c:pt>
                <c:pt idx="7">
                  <c:v>2016</c:v>
                </c:pt>
                <c:pt idx="8">
                  <c:v>2017</c:v>
                </c:pt>
                <c:pt idx="9">
                  <c:v>2018</c:v>
                </c:pt>
                <c:pt idx="10">
                  <c:v>2019</c:v>
                </c:pt>
                <c:pt idx="11">
                  <c:v>2020</c:v>
                </c:pt>
                <c:pt idx="12">
                  <c:v>2021</c:v>
                </c:pt>
                <c:pt idx="14">
                  <c:v>2022</c:v>
                </c:pt>
              </c:numCache>
            </c:numRef>
          </c:cat>
          <c:val>
            <c:numRef>
              <c:f>'მიმდინარე ანგარიშის ტექსტი'!$C$5:$C$17</c:f>
              <c:numCache>
                <c:formatCode>0.0%</c:formatCode>
                <c:ptCount val="13"/>
                <c:pt idx="1">
                  <c:v>9.8000000000000004E-2</c:v>
                </c:pt>
                <c:pt idx="2">
                  <c:v>0.122</c:v>
                </c:pt>
                <c:pt idx="3">
                  <c:v>0.114</c:v>
                </c:pt>
                <c:pt idx="4">
                  <c:v>5.6000000000000001E-2</c:v>
                </c:pt>
                <c:pt idx="5">
                  <c:v>0.10100000000000001</c:v>
                </c:pt>
                <c:pt idx="6">
                  <c:v>0.11799999999999999</c:v>
                </c:pt>
                <c:pt idx="7">
                  <c:v>0.125</c:v>
                </c:pt>
                <c:pt idx="8">
                  <c:v>0.08</c:v>
                </c:pt>
                <c:pt idx="9">
                  <c:v>6.7695670439421873E-2</c:v>
                </c:pt>
                <c:pt idx="10">
                  <c:v>5.8473568440909542E-2</c:v>
                </c:pt>
                <c:pt idx="11">
                  <c:v>0.12489118932470182</c:v>
                </c:pt>
                <c:pt idx="12">
                  <c:v>0.104</c:v>
                </c:pt>
              </c:numCache>
            </c:numRef>
          </c:val>
          <c:smooth val="0"/>
          <c:extLst>
            <c:ext xmlns:c16="http://schemas.microsoft.com/office/drawing/2014/chart" uri="{C3380CC4-5D6E-409C-BE32-E72D297353CC}">
              <c16:uniqueId val="{00000005-A0CB-45BE-B3F6-F53F08463521}"/>
            </c:ext>
          </c:extLst>
        </c:ser>
        <c:dLbls>
          <c:showLegendKey val="0"/>
          <c:showVal val="0"/>
          <c:showCatName val="0"/>
          <c:showSerName val="0"/>
          <c:showPercent val="0"/>
          <c:showBubbleSize val="0"/>
        </c:dLbls>
        <c:marker val="1"/>
        <c:smooth val="0"/>
        <c:axId val="654313792"/>
        <c:axId val="702014496"/>
      </c:lineChart>
      <c:catAx>
        <c:axId val="65431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014496"/>
        <c:crosses val="autoZero"/>
        <c:auto val="1"/>
        <c:lblAlgn val="ctr"/>
        <c:lblOffset val="100"/>
        <c:noMultiLvlLbl val="0"/>
      </c:catAx>
      <c:valAx>
        <c:axId val="70201449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31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solidFill>
                  <a:schemeClr val="tx1">
                    <a:lumMod val="65000"/>
                    <a:lumOff val="35000"/>
                  </a:schemeClr>
                </a:solidFill>
              </a:rPr>
              <a:t>მთლიანი სალდო</a:t>
            </a:r>
            <a:endParaRPr lang="en-US">
              <a:solidFill>
                <a:schemeClr val="tx1">
                  <a:lumMod val="65000"/>
                  <a:lumOff val="35000"/>
                </a:schemeClr>
              </a:solidFill>
            </a:endParaRPr>
          </a:p>
        </c:rich>
      </c:tx>
      <c:layout>
        <c:manualLayout>
          <c:xMode val="edge"/>
          <c:yMode val="edge"/>
          <c:x val="0.3022569178852643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632080989876265"/>
          <c:y val="0.10799056255152222"/>
          <c:w val="0.8317744281964754"/>
          <c:h val="0.49999602035305152"/>
        </c:manualLayout>
      </c:layout>
      <c:areaChart>
        <c:grouping val="stacked"/>
        <c:varyColors val="0"/>
        <c:ser>
          <c:idx val="0"/>
          <c:order val="0"/>
          <c:tx>
            <c:strRef>
              <c:f>Sheet1!$A$89</c:f>
              <c:strCache>
                <c:ptCount val="1"/>
              </c:strCache>
            </c:strRef>
          </c:tx>
          <c:spPr>
            <a:noFill/>
            <a:ln>
              <a:noFill/>
            </a:ln>
            <a:effectLst/>
          </c:spPr>
          <c:val>
            <c:numRef>
              <c:f>Sheet1!$B$89:$I$89</c:f>
              <c:numCache>
                <c:formatCode>0.0%</c:formatCode>
                <c:ptCount val="8"/>
                <c:pt idx="0">
                  <c:v>-2.7460025937072335E-2</c:v>
                </c:pt>
                <c:pt idx="1">
                  <c:v>-9.2844754688415992E-2</c:v>
                </c:pt>
                <c:pt idx="2">
                  <c:v>-6.3227690506983569E-2</c:v>
                </c:pt>
                <c:pt idx="3">
                  <c:v>-3.7329149886299713E-2</c:v>
                </c:pt>
                <c:pt idx="4">
                  <c:v>-4.8891013299430006E-2</c:v>
                </c:pt>
                <c:pt idx="5">
                  <c:v>-4.09927946936684E-2</c:v>
                </c:pt>
                <c:pt idx="6">
                  <c:v>-4.0900904905766186E-2</c:v>
                </c:pt>
                <c:pt idx="7">
                  <c:v>-3.9696034906437069E-2</c:v>
                </c:pt>
              </c:numCache>
            </c:numRef>
          </c:val>
          <c:extLst>
            <c:ext xmlns:c16="http://schemas.microsoft.com/office/drawing/2014/chart" uri="{C3380CC4-5D6E-409C-BE32-E72D297353CC}">
              <c16:uniqueId val="{00000000-9387-4E90-8EC0-5BC162CE7448}"/>
            </c:ext>
          </c:extLst>
        </c:ser>
        <c:ser>
          <c:idx val="1"/>
          <c:order val="1"/>
          <c:tx>
            <c:strRef>
              <c:f>Sheet1!$A$90</c:f>
              <c:strCache>
                <c:ptCount val="1"/>
                <c:pt idx="0">
                  <c:v>-95%</c:v>
                </c:pt>
              </c:strCache>
            </c:strRef>
          </c:tx>
          <c:spPr>
            <a:solidFill>
              <a:schemeClr val="accent1">
                <a:lumMod val="20000"/>
                <a:lumOff val="80000"/>
              </a:schemeClr>
            </a:solidFill>
            <a:ln>
              <a:noFill/>
            </a:ln>
            <a:effectLst/>
          </c:spPr>
          <c:val>
            <c:numRef>
              <c:f>Sheet1!$B$90:$I$90</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1-9387-4E90-8EC0-5BC162CE7448}"/>
            </c:ext>
          </c:extLst>
        </c:ser>
        <c:ser>
          <c:idx val="2"/>
          <c:order val="2"/>
          <c:tx>
            <c:strRef>
              <c:f>Sheet1!$A$91</c:f>
              <c:strCache>
                <c:ptCount val="1"/>
                <c:pt idx="0">
                  <c:v>-60%</c:v>
                </c:pt>
              </c:strCache>
            </c:strRef>
          </c:tx>
          <c:spPr>
            <a:solidFill>
              <a:schemeClr val="accent1">
                <a:lumMod val="40000"/>
                <a:lumOff val="60000"/>
              </a:schemeClr>
            </a:solidFill>
            <a:ln>
              <a:noFill/>
            </a:ln>
            <a:effectLst/>
          </c:spPr>
          <c:val>
            <c:numRef>
              <c:f>Sheet1!$B$91:$I$91</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2-9387-4E90-8EC0-5BC162CE7448}"/>
            </c:ext>
          </c:extLst>
        </c:ser>
        <c:ser>
          <c:idx val="3"/>
          <c:order val="3"/>
          <c:tx>
            <c:strRef>
              <c:f>Sheet1!$A$92</c:f>
              <c:strCache>
                <c:ptCount val="1"/>
                <c:pt idx="0">
                  <c:v>-30%</c:v>
                </c:pt>
              </c:strCache>
            </c:strRef>
          </c:tx>
          <c:spPr>
            <a:solidFill>
              <a:schemeClr val="accent1">
                <a:lumMod val="60000"/>
                <a:lumOff val="40000"/>
              </a:schemeClr>
            </a:solidFill>
            <a:ln>
              <a:noFill/>
            </a:ln>
            <a:effectLst/>
          </c:spPr>
          <c:val>
            <c:numRef>
              <c:f>Sheet1!$B$92:$I$92</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3-9387-4E90-8EC0-5BC162CE7448}"/>
            </c:ext>
          </c:extLst>
        </c:ser>
        <c:ser>
          <c:idx val="4"/>
          <c:order val="4"/>
          <c:tx>
            <c:strRef>
              <c:f>Sheet1!$A$93</c:f>
              <c:strCache>
                <c:ptCount val="1"/>
                <c:pt idx="0">
                  <c:v>+30%</c:v>
                </c:pt>
              </c:strCache>
            </c:strRef>
          </c:tx>
          <c:spPr>
            <a:solidFill>
              <a:schemeClr val="accent1">
                <a:lumMod val="60000"/>
                <a:lumOff val="40000"/>
              </a:schemeClr>
            </a:solidFill>
            <a:ln>
              <a:noFill/>
            </a:ln>
            <a:effectLst/>
          </c:spPr>
          <c:val>
            <c:numRef>
              <c:f>Sheet1!$B$93:$I$93</c:f>
              <c:numCache>
                <c:formatCode>General</c:formatCode>
                <c:ptCount val="8"/>
                <c:pt idx="3" formatCode="0.0%">
                  <c:v>1.6717993926017444E-3</c:v>
                </c:pt>
                <c:pt idx="4" formatCode="0.0%">
                  <c:v>3.3435987852034887E-3</c:v>
                </c:pt>
                <c:pt idx="5" formatCode="0.0%">
                  <c:v>3.3435987852034887E-3</c:v>
                </c:pt>
                <c:pt idx="6" formatCode="0.0%">
                  <c:v>3.3435987852034887E-3</c:v>
                </c:pt>
                <c:pt idx="7" formatCode="0.0%">
                  <c:v>3.3435987852034887E-3</c:v>
                </c:pt>
              </c:numCache>
            </c:numRef>
          </c:val>
          <c:extLst>
            <c:ext xmlns:c16="http://schemas.microsoft.com/office/drawing/2014/chart" uri="{C3380CC4-5D6E-409C-BE32-E72D297353CC}">
              <c16:uniqueId val="{00000004-9387-4E90-8EC0-5BC162CE7448}"/>
            </c:ext>
          </c:extLst>
        </c:ser>
        <c:ser>
          <c:idx val="5"/>
          <c:order val="5"/>
          <c:tx>
            <c:strRef>
              <c:f>Sheet1!$A$94</c:f>
              <c:strCache>
                <c:ptCount val="1"/>
                <c:pt idx="0">
                  <c:v>+60%</c:v>
                </c:pt>
              </c:strCache>
            </c:strRef>
          </c:tx>
          <c:spPr>
            <a:solidFill>
              <a:schemeClr val="accent1">
                <a:lumMod val="40000"/>
                <a:lumOff val="60000"/>
              </a:schemeClr>
            </a:solidFill>
            <a:ln>
              <a:noFill/>
            </a:ln>
            <a:effectLst/>
          </c:spPr>
          <c:val>
            <c:numRef>
              <c:f>Sheet1!$B$94:$I$94</c:f>
              <c:numCache>
                <c:formatCode>General</c:formatCode>
                <c:ptCount val="8"/>
                <c:pt idx="3" formatCode="0.0%">
                  <c:v>2.0401726914401489E-3</c:v>
                </c:pt>
                <c:pt idx="4" formatCode="0.0%">
                  <c:v>4.0803453828802978E-3</c:v>
                </c:pt>
                <c:pt idx="5" formatCode="0.0%">
                  <c:v>4.0803453828802978E-3</c:v>
                </c:pt>
                <c:pt idx="6" formatCode="0.0%">
                  <c:v>4.0803453828802978E-3</c:v>
                </c:pt>
                <c:pt idx="7" formatCode="0.0%">
                  <c:v>4.0803453828802978E-3</c:v>
                </c:pt>
              </c:numCache>
            </c:numRef>
          </c:val>
          <c:extLst>
            <c:ext xmlns:c16="http://schemas.microsoft.com/office/drawing/2014/chart" uri="{C3380CC4-5D6E-409C-BE32-E72D297353CC}">
              <c16:uniqueId val="{00000005-9387-4E90-8EC0-5BC162CE7448}"/>
            </c:ext>
          </c:extLst>
        </c:ser>
        <c:ser>
          <c:idx val="6"/>
          <c:order val="6"/>
          <c:tx>
            <c:strRef>
              <c:f>Sheet1!$A$95</c:f>
              <c:strCache>
                <c:ptCount val="1"/>
                <c:pt idx="0">
                  <c:v>+95%</c:v>
                </c:pt>
              </c:strCache>
            </c:strRef>
          </c:tx>
          <c:spPr>
            <a:solidFill>
              <a:schemeClr val="accent1">
                <a:lumMod val="20000"/>
                <a:lumOff val="80000"/>
              </a:schemeClr>
            </a:solidFill>
            <a:ln>
              <a:noFill/>
            </a:ln>
            <a:effectLst/>
          </c:spPr>
          <c:val>
            <c:numRef>
              <c:f>Sheet1!$B$95:$I$95</c:f>
              <c:numCache>
                <c:formatCode>General</c:formatCode>
                <c:ptCount val="8"/>
                <c:pt idx="3" formatCode="0.0%">
                  <c:v>5.7933794558658594E-3</c:v>
                </c:pt>
                <c:pt idx="4" formatCode="0.0%">
                  <c:v>1.1586758911731719E-2</c:v>
                </c:pt>
                <c:pt idx="5" formatCode="0.0%">
                  <c:v>1.1586758911731719E-2</c:v>
                </c:pt>
                <c:pt idx="6" formatCode="0.0%">
                  <c:v>1.1586758911731719E-2</c:v>
                </c:pt>
                <c:pt idx="7" formatCode="0.0%">
                  <c:v>1.1586758911731719E-2</c:v>
                </c:pt>
              </c:numCache>
            </c:numRef>
          </c:val>
          <c:extLst>
            <c:ext xmlns:c16="http://schemas.microsoft.com/office/drawing/2014/chart" uri="{C3380CC4-5D6E-409C-BE32-E72D297353CC}">
              <c16:uniqueId val="{00000006-9387-4E90-8EC0-5BC162CE7448}"/>
            </c:ext>
          </c:extLst>
        </c:ser>
        <c:dLbls>
          <c:showLegendKey val="0"/>
          <c:showVal val="0"/>
          <c:showCatName val="0"/>
          <c:showSerName val="0"/>
          <c:showPercent val="0"/>
          <c:showBubbleSize val="0"/>
        </c:dLbls>
        <c:axId val="235709760"/>
        <c:axId val="235710320"/>
      </c:areaChart>
      <c:lineChart>
        <c:grouping val="standard"/>
        <c:varyColors val="0"/>
        <c:ser>
          <c:idx val="7"/>
          <c:order val="7"/>
          <c:tx>
            <c:strRef>
              <c:f>Sheet1!$A$86</c:f>
              <c:strCache>
                <c:ptCount val="1"/>
                <c:pt idx="0">
                  <c:v>მთლიანი სალდო</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Sheet1!$B$86:$I$86</c:f>
              <c:numCache>
                <c:formatCode>0.0%</c:formatCode>
                <c:ptCount val="8"/>
                <c:pt idx="0">
                  <c:v>-2.7460025937072335E-2</c:v>
                </c:pt>
                <c:pt idx="1">
                  <c:v>-9.2844754688415992E-2</c:v>
                </c:pt>
                <c:pt idx="2">
                  <c:v>-6.3227690506983569E-2</c:v>
                </c:pt>
                <c:pt idx="3">
                  <c:v>-2.7823798346391961E-2</c:v>
                </c:pt>
                <c:pt idx="4">
                  <c:v>-2.9880310219614504E-2</c:v>
                </c:pt>
                <c:pt idx="5">
                  <c:v>-2.1982091613852898E-2</c:v>
                </c:pt>
                <c:pt idx="6">
                  <c:v>-2.1890201825950684E-2</c:v>
                </c:pt>
                <c:pt idx="7">
                  <c:v>-2.0685331826621561E-2</c:v>
                </c:pt>
              </c:numCache>
            </c:numRef>
          </c:val>
          <c:smooth val="0"/>
          <c:extLst>
            <c:ext xmlns:c16="http://schemas.microsoft.com/office/drawing/2014/chart" uri="{C3380CC4-5D6E-409C-BE32-E72D297353CC}">
              <c16:uniqueId val="{00000007-9387-4E90-8EC0-5BC162CE7448}"/>
            </c:ext>
          </c:extLst>
        </c:ser>
        <c:dLbls>
          <c:showLegendKey val="0"/>
          <c:showVal val="0"/>
          <c:showCatName val="0"/>
          <c:showSerName val="0"/>
          <c:showPercent val="0"/>
          <c:showBubbleSize val="0"/>
        </c:dLbls>
        <c:marker val="1"/>
        <c:smooth val="0"/>
        <c:axId val="235709760"/>
        <c:axId val="235710320"/>
      </c:lineChart>
      <c:catAx>
        <c:axId val="23570976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5710320"/>
        <c:crosses val="autoZero"/>
        <c:auto val="1"/>
        <c:lblAlgn val="ctr"/>
        <c:lblOffset val="100"/>
        <c:noMultiLvlLbl val="0"/>
      </c:catAx>
      <c:valAx>
        <c:axId val="235710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09760"/>
        <c:crosses val="autoZero"/>
        <c:crossBetween val="between"/>
      </c:valAx>
      <c:spPr>
        <a:noFill/>
        <a:ln>
          <a:noFill/>
        </a:ln>
        <a:effectLst/>
      </c:spPr>
    </c:plotArea>
    <c:legend>
      <c:legendPos val="b"/>
      <c:layout>
        <c:manualLayout>
          <c:xMode val="edge"/>
          <c:yMode val="edge"/>
          <c:x val="4.329508811398574E-2"/>
          <c:y val="0.76895079450808712"/>
          <c:w val="0.95670491188601425"/>
          <c:h val="0.2021683390659200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ეკონომიკური ზრდა</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Sheet1!$A$8</c:f>
              <c:strCache>
                <c:ptCount val="1"/>
              </c:strCache>
            </c:strRef>
          </c:tx>
          <c:spPr>
            <a:noFill/>
            <a:ln>
              <a:noFill/>
            </a:ln>
            <a:effectLst/>
          </c:spPr>
          <c:val>
            <c:numRef>
              <c:f>Sheet1!$B$8:$I$8</c:f>
              <c:numCache>
                <c:formatCode>0.0%</c:formatCode>
                <c:ptCount val="8"/>
                <c:pt idx="0">
                  <c:v>4.9823504594493251E-2</c:v>
                </c:pt>
                <c:pt idx="1">
                  <c:v>-6.760439674912222E-2</c:v>
                </c:pt>
                <c:pt idx="2">
                  <c:v>0.10465537207639986</c:v>
                </c:pt>
                <c:pt idx="3">
                  <c:v>7.1235016528807885E-2</c:v>
                </c:pt>
                <c:pt idx="4">
                  <c:v>-7.5293332642399555E-3</c:v>
                </c:pt>
                <c:pt idx="5">
                  <c:v>-5.5291468513117489E-3</c:v>
                </c:pt>
                <c:pt idx="6">
                  <c:v>-5.5295680107215403E-3</c:v>
                </c:pt>
                <c:pt idx="7">
                  <c:v>-7.5296485512322472E-3</c:v>
                </c:pt>
              </c:numCache>
            </c:numRef>
          </c:val>
          <c:extLst>
            <c:ext xmlns:c16="http://schemas.microsoft.com/office/drawing/2014/chart" uri="{C3380CC4-5D6E-409C-BE32-E72D297353CC}">
              <c16:uniqueId val="{00000000-8971-4C57-A0AD-0E288B7E64F3}"/>
            </c:ext>
          </c:extLst>
        </c:ser>
        <c:ser>
          <c:idx val="1"/>
          <c:order val="1"/>
          <c:tx>
            <c:strRef>
              <c:f>Sheet1!$A$9</c:f>
              <c:strCache>
                <c:ptCount val="1"/>
                <c:pt idx="0">
                  <c:v>-95%</c:v>
                </c:pt>
              </c:strCache>
            </c:strRef>
          </c:tx>
          <c:spPr>
            <a:solidFill>
              <a:schemeClr val="accent1">
                <a:lumMod val="20000"/>
                <a:lumOff val="80000"/>
              </a:schemeClr>
            </a:solidFill>
            <a:ln>
              <a:noFill/>
            </a:ln>
            <a:effectLst/>
          </c:spPr>
          <c:val>
            <c:numRef>
              <c:f>Sheet1!$B$9:$I$9</c:f>
              <c:numCache>
                <c:formatCode>General</c:formatCode>
                <c:ptCount val="8"/>
                <c:pt idx="3" formatCode="0.0%">
                  <c:v>1.7531713928469292E-2</c:v>
                </c:pt>
                <c:pt idx="4" formatCode="0.0%">
                  <c:v>3.5063427856938584E-2</c:v>
                </c:pt>
                <c:pt idx="5" formatCode="0.0%">
                  <c:v>3.5063427856938584E-2</c:v>
                </c:pt>
                <c:pt idx="6" formatCode="0.0%">
                  <c:v>3.5063427856938584E-2</c:v>
                </c:pt>
                <c:pt idx="7" formatCode="0.0%">
                  <c:v>3.5063427856938584E-2</c:v>
                </c:pt>
              </c:numCache>
            </c:numRef>
          </c:val>
          <c:extLst>
            <c:ext xmlns:c16="http://schemas.microsoft.com/office/drawing/2014/chart" uri="{C3380CC4-5D6E-409C-BE32-E72D297353CC}">
              <c16:uniqueId val="{00000001-8971-4C57-A0AD-0E288B7E64F3}"/>
            </c:ext>
          </c:extLst>
        </c:ser>
        <c:ser>
          <c:idx val="2"/>
          <c:order val="2"/>
          <c:tx>
            <c:strRef>
              <c:f>Sheet1!$A$10</c:f>
              <c:strCache>
                <c:ptCount val="1"/>
                <c:pt idx="0">
                  <c:v>-60%</c:v>
                </c:pt>
              </c:strCache>
            </c:strRef>
          </c:tx>
          <c:spPr>
            <a:solidFill>
              <a:schemeClr val="accent1">
                <a:lumMod val="40000"/>
                <a:lumOff val="60000"/>
              </a:schemeClr>
            </a:solidFill>
            <a:ln>
              <a:noFill/>
            </a:ln>
            <a:effectLst/>
          </c:spPr>
          <c:val>
            <c:numRef>
              <c:f>Sheet1!$B$10:$I$10</c:f>
              <c:numCache>
                <c:formatCode>General</c:formatCode>
                <c:ptCount val="8"/>
                <c:pt idx="3" formatCode="0.0%">
                  <c:v>6.1738963006796911E-3</c:v>
                </c:pt>
                <c:pt idx="4" formatCode="0.0%">
                  <c:v>1.2347792601359382E-2</c:v>
                </c:pt>
                <c:pt idx="5" formatCode="0.0%">
                  <c:v>1.2347792601359382E-2</c:v>
                </c:pt>
                <c:pt idx="6" formatCode="0.0%">
                  <c:v>1.2347792601359382E-2</c:v>
                </c:pt>
                <c:pt idx="7" formatCode="0.0%">
                  <c:v>1.2347792601359382E-2</c:v>
                </c:pt>
              </c:numCache>
            </c:numRef>
          </c:val>
          <c:extLst>
            <c:ext xmlns:c16="http://schemas.microsoft.com/office/drawing/2014/chart" uri="{C3380CC4-5D6E-409C-BE32-E72D297353CC}">
              <c16:uniqueId val="{00000002-8971-4C57-A0AD-0E288B7E64F3}"/>
            </c:ext>
          </c:extLst>
        </c:ser>
        <c:ser>
          <c:idx val="3"/>
          <c:order val="3"/>
          <c:tx>
            <c:strRef>
              <c:f>Sheet1!$A$11</c:f>
              <c:strCache>
                <c:ptCount val="1"/>
                <c:pt idx="0">
                  <c:v>-30%</c:v>
                </c:pt>
              </c:strCache>
            </c:strRef>
          </c:tx>
          <c:spPr>
            <a:solidFill>
              <a:schemeClr val="accent1">
                <a:lumMod val="60000"/>
                <a:lumOff val="40000"/>
              </a:schemeClr>
            </a:solidFill>
            <a:ln>
              <a:noFill/>
            </a:ln>
            <a:effectLst/>
          </c:spPr>
          <c:val>
            <c:numRef>
              <c:f>Sheet1!$B$11:$I$11</c:f>
              <c:numCache>
                <c:formatCode>General</c:formatCode>
                <c:ptCount val="8"/>
                <c:pt idx="3" formatCode="0.0%">
                  <c:v>5.0591384389997648E-3</c:v>
                </c:pt>
                <c:pt idx="4" formatCode="0.0%">
                  <c:v>1.011827687799953E-2</c:v>
                </c:pt>
                <c:pt idx="5" formatCode="0.0%">
                  <c:v>1.011827687799953E-2</c:v>
                </c:pt>
                <c:pt idx="6" formatCode="0.0%">
                  <c:v>1.011827687799953E-2</c:v>
                </c:pt>
                <c:pt idx="7" formatCode="0.0%">
                  <c:v>1.011827687799953E-2</c:v>
                </c:pt>
              </c:numCache>
            </c:numRef>
          </c:val>
          <c:extLst>
            <c:ext xmlns:c16="http://schemas.microsoft.com/office/drawing/2014/chart" uri="{C3380CC4-5D6E-409C-BE32-E72D297353CC}">
              <c16:uniqueId val="{00000003-8971-4C57-A0AD-0E288B7E64F3}"/>
            </c:ext>
          </c:extLst>
        </c:ser>
        <c:ser>
          <c:idx val="4"/>
          <c:order val="4"/>
          <c:tx>
            <c:strRef>
              <c:f>Sheet1!$A$12</c:f>
              <c:strCache>
                <c:ptCount val="1"/>
                <c:pt idx="0">
                  <c:v>+30%</c:v>
                </c:pt>
              </c:strCache>
            </c:strRef>
          </c:tx>
          <c:spPr>
            <a:solidFill>
              <a:schemeClr val="accent1">
                <a:lumMod val="60000"/>
                <a:lumOff val="40000"/>
              </a:schemeClr>
            </a:solidFill>
            <a:ln>
              <a:noFill/>
            </a:ln>
            <a:effectLst/>
          </c:spPr>
          <c:val>
            <c:numRef>
              <c:f>Sheet1!$B$12:$I$12</c:f>
              <c:numCache>
                <c:formatCode>General</c:formatCode>
                <c:ptCount val="8"/>
                <c:pt idx="3" formatCode="0.0%">
                  <c:v>2.5295692194998824E-3</c:v>
                </c:pt>
                <c:pt idx="4" formatCode="0.0%">
                  <c:v>5.0591384389997648E-3</c:v>
                </c:pt>
                <c:pt idx="5" formatCode="0.0%">
                  <c:v>5.0591384389997648E-3</c:v>
                </c:pt>
                <c:pt idx="6" formatCode="0.0%">
                  <c:v>5.0591384389997648E-3</c:v>
                </c:pt>
                <c:pt idx="7" formatCode="0.0%">
                  <c:v>5.0591384389997648E-3</c:v>
                </c:pt>
              </c:numCache>
            </c:numRef>
          </c:val>
          <c:extLst>
            <c:ext xmlns:c16="http://schemas.microsoft.com/office/drawing/2014/chart" uri="{C3380CC4-5D6E-409C-BE32-E72D297353CC}">
              <c16:uniqueId val="{00000004-8971-4C57-A0AD-0E288B7E64F3}"/>
            </c:ext>
          </c:extLst>
        </c:ser>
        <c:ser>
          <c:idx val="5"/>
          <c:order val="5"/>
          <c:tx>
            <c:strRef>
              <c:f>Sheet1!$A$13</c:f>
              <c:strCache>
                <c:ptCount val="1"/>
                <c:pt idx="0">
                  <c:v>+60%</c:v>
                </c:pt>
              </c:strCache>
            </c:strRef>
          </c:tx>
          <c:spPr>
            <a:solidFill>
              <a:schemeClr val="accent1">
                <a:lumMod val="40000"/>
                <a:lumOff val="60000"/>
              </a:schemeClr>
            </a:solidFill>
            <a:ln>
              <a:noFill/>
            </a:ln>
            <a:effectLst/>
          </c:spPr>
          <c:val>
            <c:numRef>
              <c:f>Sheet1!$B$13:$I$13</c:f>
              <c:numCache>
                <c:formatCode>General</c:formatCode>
                <c:ptCount val="8"/>
                <c:pt idx="3" formatCode="0.0%">
                  <c:v>3.0869481503398456E-3</c:v>
                </c:pt>
                <c:pt idx="4" formatCode="0.0%">
                  <c:v>6.1738963006796911E-3</c:v>
                </c:pt>
                <c:pt idx="5" formatCode="0.0%">
                  <c:v>6.1738963006796911E-3</c:v>
                </c:pt>
                <c:pt idx="6" formatCode="0.0%">
                  <c:v>6.1738963006796911E-3</c:v>
                </c:pt>
                <c:pt idx="7" formatCode="0.0%">
                  <c:v>6.1738963006796911E-3</c:v>
                </c:pt>
              </c:numCache>
            </c:numRef>
          </c:val>
          <c:extLst>
            <c:ext xmlns:c16="http://schemas.microsoft.com/office/drawing/2014/chart" uri="{C3380CC4-5D6E-409C-BE32-E72D297353CC}">
              <c16:uniqueId val="{00000005-8971-4C57-A0AD-0E288B7E64F3}"/>
            </c:ext>
          </c:extLst>
        </c:ser>
        <c:ser>
          <c:idx val="6"/>
          <c:order val="6"/>
          <c:tx>
            <c:strRef>
              <c:f>Sheet1!$A$14</c:f>
              <c:strCache>
                <c:ptCount val="1"/>
                <c:pt idx="0">
                  <c:v>+95%</c:v>
                </c:pt>
              </c:strCache>
            </c:strRef>
          </c:tx>
          <c:spPr>
            <a:solidFill>
              <a:schemeClr val="accent1">
                <a:lumMod val="20000"/>
                <a:lumOff val="80000"/>
              </a:schemeClr>
            </a:solidFill>
            <a:ln>
              <a:noFill/>
            </a:ln>
            <a:effectLst/>
          </c:spPr>
          <c:val>
            <c:numRef>
              <c:f>Sheet1!$B$14:$I$14</c:f>
              <c:numCache>
                <c:formatCode>General</c:formatCode>
                <c:ptCount val="8"/>
                <c:pt idx="3" formatCode="0.0%">
                  <c:v>8.7658569642346459E-3</c:v>
                </c:pt>
                <c:pt idx="4" formatCode="0.0%">
                  <c:v>1.7531713928469292E-2</c:v>
                </c:pt>
                <c:pt idx="5" formatCode="0.0%">
                  <c:v>1.7531713928469292E-2</c:v>
                </c:pt>
                <c:pt idx="6" formatCode="0.0%">
                  <c:v>1.7531713928469292E-2</c:v>
                </c:pt>
                <c:pt idx="7" formatCode="0.0%">
                  <c:v>1.7531713928469292E-2</c:v>
                </c:pt>
              </c:numCache>
            </c:numRef>
          </c:val>
          <c:extLst>
            <c:ext xmlns:c16="http://schemas.microsoft.com/office/drawing/2014/chart" uri="{C3380CC4-5D6E-409C-BE32-E72D297353CC}">
              <c16:uniqueId val="{00000006-8971-4C57-A0AD-0E288B7E64F3}"/>
            </c:ext>
          </c:extLst>
        </c:ser>
        <c:dLbls>
          <c:showLegendKey val="0"/>
          <c:showVal val="0"/>
          <c:showCatName val="0"/>
          <c:showSerName val="0"/>
          <c:showPercent val="0"/>
          <c:showBubbleSize val="0"/>
        </c:dLbls>
        <c:axId val="234730080"/>
        <c:axId val="234730640"/>
      </c:areaChart>
      <c:lineChart>
        <c:grouping val="standard"/>
        <c:varyColors val="0"/>
        <c:ser>
          <c:idx val="7"/>
          <c:order val="7"/>
          <c:tx>
            <c:strRef>
              <c:f>Sheet1!$A$5</c:f>
              <c:strCache>
                <c:ptCount val="1"/>
                <c:pt idx="0">
                  <c:v>ეკონომიკური ზრდა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Sheet1!$B$5:$I$5</c:f>
              <c:numCache>
                <c:formatCode>0.0%</c:formatCode>
                <c:ptCount val="8"/>
                <c:pt idx="0">
                  <c:v>4.9823504594493251E-2</c:v>
                </c:pt>
                <c:pt idx="1">
                  <c:v>-6.760439674912222E-2</c:v>
                </c:pt>
                <c:pt idx="2">
                  <c:v>0.10465537207639986</c:v>
                </c:pt>
                <c:pt idx="3">
                  <c:v>9.9999765196956636E-2</c:v>
                </c:pt>
                <c:pt idx="4">
                  <c:v>5.000016407205754E-2</c:v>
                </c:pt>
                <c:pt idx="5">
                  <c:v>5.2000350484985747E-2</c:v>
                </c:pt>
                <c:pt idx="6">
                  <c:v>5.1999929325575955E-2</c:v>
                </c:pt>
                <c:pt idx="7">
                  <c:v>4.9999848785065248E-2</c:v>
                </c:pt>
              </c:numCache>
            </c:numRef>
          </c:val>
          <c:smooth val="0"/>
          <c:extLst>
            <c:ext xmlns:c16="http://schemas.microsoft.com/office/drawing/2014/chart" uri="{C3380CC4-5D6E-409C-BE32-E72D297353CC}">
              <c16:uniqueId val="{00000007-8971-4C57-A0AD-0E288B7E64F3}"/>
            </c:ext>
          </c:extLst>
        </c:ser>
        <c:dLbls>
          <c:showLegendKey val="0"/>
          <c:showVal val="0"/>
          <c:showCatName val="0"/>
          <c:showSerName val="0"/>
          <c:showPercent val="0"/>
          <c:showBubbleSize val="0"/>
        </c:dLbls>
        <c:marker val="1"/>
        <c:smooth val="0"/>
        <c:axId val="234730080"/>
        <c:axId val="234730640"/>
      </c:lineChart>
      <c:catAx>
        <c:axId val="23473008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640"/>
        <c:crosses val="autoZero"/>
        <c:auto val="1"/>
        <c:lblAlgn val="ctr"/>
        <c:lblOffset val="100"/>
        <c:noMultiLvlLbl val="0"/>
      </c:catAx>
      <c:valAx>
        <c:axId val="23473064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0080"/>
        <c:crosses val="autoZero"/>
        <c:crossBetween val="between"/>
      </c:valAx>
      <c:spPr>
        <a:noFill/>
        <a:ln>
          <a:noFill/>
        </a:ln>
        <a:effectLst/>
      </c:spPr>
    </c:plotArea>
    <c:legend>
      <c:legendPos val="b"/>
      <c:layout>
        <c:manualLayout>
          <c:xMode val="edge"/>
          <c:yMode val="edge"/>
          <c:x val="1.2751286089238844E-2"/>
          <c:y val="0.81089534120734907"/>
          <c:w val="0.97822399160991769"/>
          <c:h val="0.1614124015748031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ინფლაცია</a:t>
            </a:r>
            <a:endParaRPr lang="en-US"/>
          </a:p>
        </c:rich>
      </c:tx>
      <c:layout>
        <c:manualLayout>
          <c:xMode val="edge"/>
          <c:yMode val="edge"/>
          <c:x val="0.3644118974924052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Sheet1!$A$33</c:f>
              <c:strCache>
                <c:ptCount val="1"/>
              </c:strCache>
            </c:strRef>
          </c:tx>
          <c:spPr>
            <a:noFill/>
            <a:ln>
              <a:noFill/>
            </a:ln>
            <a:effectLst/>
          </c:spPr>
          <c:val>
            <c:numRef>
              <c:f>Sheet1!$B$33:$I$33</c:f>
              <c:numCache>
                <c:formatCode>0.0%</c:formatCode>
                <c:ptCount val="8"/>
                <c:pt idx="0">
                  <c:v>4.8528982169673052E-2</c:v>
                </c:pt>
                <c:pt idx="1">
                  <c:v>5.2024648897532888E-2</c:v>
                </c:pt>
                <c:pt idx="2">
                  <c:v>9.5669143382477229E-2</c:v>
                </c:pt>
                <c:pt idx="3">
                  <c:v>0.10771570487020553</c:v>
                </c:pt>
                <c:pt idx="4">
                  <c:v>3.0480737860494302E-2</c:v>
                </c:pt>
                <c:pt idx="5">
                  <c:v>7.4811988540101973E-3</c:v>
                </c:pt>
                <c:pt idx="6">
                  <c:v>7.4809814388778553E-3</c:v>
                </c:pt>
                <c:pt idx="7">
                  <c:v>7.4803475956199753E-3</c:v>
                </c:pt>
              </c:numCache>
            </c:numRef>
          </c:val>
          <c:extLst>
            <c:ext xmlns:c16="http://schemas.microsoft.com/office/drawing/2014/chart" uri="{C3380CC4-5D6E-409C-BE32-E72D297353CC}">
              <c16:uniqueId val="{00000000-9399-4590-8B3F-887F8F1B3876}"/>
            </c:ext>
          </c:extLst>
        </c:ser>
        <c:ser>
          <c:idx val="1"/>
          <c:order val="1"/>
          <c:tx>
            <c:strRef>
              <c:f>Sheet1!$A$34</c:f>
              <c:strCache>
                <c:ptCount val="1"/>
                <c:pt idx="0">
                  <c:v>-95%</c:v>
                </c:pt>
              </c:strCache>
            </c:strRef>
          </c:tx>
          <c:spPr>
            <a:solidFill>
              <a:schemeClr val="accent1">
                <a:lumMod val="20000"/>
                <a:lumOff val="80000"/>
              </a:schemeClr>
            </a:solidFill>
            <a:ln>
              <a:noFill/>
            </a:ln>
            <a:effectLst/>
          </c:spPr>
          <c:val>
            <c:numRef>
              <c:f>Sheet1!$B$34:$I$34</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1-9399-4590-8B3F-887F8F1B3876}"/>
            </c:ext>
          </c:extLst>
        </c:ser>
        <c:ser>
          <c:idx val="2"/>
          <c:order val="2"/>
          <c:tx>
            <c:strRef>
              <c:f>Sheet1!$A$35</c:f>
              <c:strCache>
                <c:ptCount val="1"/>
                <c:pt idx="0">
                  <c:v>-60%</c:v>
                </c:pt>
              </c:strCache>
            </c:strRef>
          </c:tx>
          <c:spPr>
            <a:solidFill>
              <a:schemeClr val="accent1">
                <a:lumMod val="40000"/>
                <a:lumOff val="60000"/>
              </a:schemeClr>
            </a:solidFill>
            <a:ln>
              <a:noFill/>
            </a:ln>
            <a:effectLst/>
          </c:spPr>
          <c:val>
            <c:numRef>
              <c:f>Sheet1!$B$35:$I$35</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2-9399-4590-8B3F-887F8F1B3876}"/>
            </c:ext>
          </c:extLst>
        </c:ser>
        <c:ser>
          <c:idx val="3"/>
          <c:order val="3"/>
          <c:tx>
            <c:strRef>
              <c:f>Sheet1!$A$36</c:f>
              <c:strCache>
                <c:ptCount val="1"/>
                <c:pt idx="0">
                  <c:v>-30%</c:v>
                </c:pt>
              </c:strCache>
            </c:strRef>
          </c:tx>
          <c:spPr>
            <a:solidFill>
              <a:schemeClr val="accent1">
                <a:lumMod val="60000"/>
                <a:lumOff val="40000"/>
              </a:schemeClr>
            </a:solidFill>
            <a:ln>
              <a:noFill/>
            </a:ln>
            <a:effectLst/>
          </c:spPr>
          <c:val>
            <c:numRef>
              <c:f>Sheet1!$B$36:$I$36</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3-9399-4590-8B3F-887F8F1B3876}"/>
            </c:ext>
          </c:extLst>
        </c:ser>
        <c:ser>
          <c:idx val="4"/>
          <c:order val="4"/>
          <c:tx>
            <c:strRef>
              <c:f>Sheet1!$A$37</c:f>
              <c:strCache>
                <c:ptCount val="1"/>
                <c:pt idx="0">
                  <c:v>+30%</c:v>
                </c:pt>
              </c:strCache>
            </c:strRef>
          </c:tx>
          <c:spPr>
            <a:solidFill>
              <a:schemeClr val="accent1">
                <a:lumMod val="60000"/>
                <a:lumOff val="40000"/>
              </a:schemeClr>
            </a:solidFill>
            <a:ln>
              <a:noFill/>
            </a:ln>
            <a:effectLst/>
          </c:spPr>
          <c:val>
            <c:numRef>
              <c:f>Sheet1!$B$37:$I$37</c:f>
              <c:numCache>
                <c:formatCode>General</c:formatCode>
                <c:ptCount val="8"/>
                <c:pt idx="3" formatCode="0.0%">
                  <c:v>1.9803278699941198E-3</c:v>
                </c:pt>
                <c:pt idx="4" formatCode="0.0%">
                  <c:v>3.9606557399882395E-3</c:v>
                </c:pt>
                <c:pt idx="5" formatCode="0.0%">
                  <c:v>3.9606557399882395E-3</c:v>
                </c:pt>
                <c:pt idx="6" formatCode="0.0%">
                  <c:v>3.9606557399882395E-3</c:v>
                </c:pt>
                <c:pt idx="7" formatCode="0.0%">
                  <c:v>3.9606557399882395E-3</c:v>
                </c:pt>
              </c:numCache>
            </c:numRef>
          </c:val>
          <c:extLst>
            <c:ext xmlns:c16="http://schemas.microsoft.com/office/drawing/2014/chart" uri="{C3380CC4-5D6E-409C-BE32-E72D297353CC}">
              <c16:uniqueId val="{00000004-9399-4590-8B3F-887F8F1B3876}"/>
            </c:ext>
          </c:extLst>
        </c:ser>
        <c:ser>
          <c:idx val="5"/>
          <c:order val="5"/>
          <c:tx>
            <c:strRef>
              <c:f>Sheet1!$A$38</c:f>
              <c:strCache>
                <c:ptCount val="1"/>
                <c:pt idx="0">
                  <c:v>+60%</c:v>
                </c:pt>
              </c:strCache>
            </c:strRef>
          </c:tx>
          <c:spPr>
            <a:solidFill>
              <a:schemeClr val="accent1">
                <a:lumMod val="40000"/>
                <a:lumOff val="60000"/>
              </a:schemeClr>
            </a:solidFill>
            <a:ln>
              <a:noFill/>
            </a:ln>
            <a:effectLst/>
          </c:spPr>
          <c:val>
            <c:numRef>
              <c:f>Sheet1!$B$38:$I$38</c:f>
              <c:numCache>
                <c:formatCode>General</c:formatCode>
                <c:ptCount val="8"/>
                <c:pt idx="3" formatCode="0.0%">
                  <c:v>2.4166839982949426E-3</c:v>
                </c:pt>
                <c:pt idx="4" formatCode="0.0%">
                  <c:v>4.8333679965898851E-3</c:v>
                </c:pt>
                <c:pt idx="5" formatCode="0.0%">
                  <c:v>4.8333679965898851E-3</c:v>
                </c:pt>
                <c:pt idx="6" formatCode="0.0%">
                  <c:v>4.8333679965898851E-3</c:v>
                </c:pt>
                <c:pt idx="7" formatCode="0.0%">
                  <c:v>4.8333679965898851E-3</c:v>
                </c:pt>
              </c:numCache>
            </c:numRef>
          </c:val>
          <c:extLst>
            <c:ext xmlns:c16="http://schemas.microsoft.com/office/drawing/2014/chart" uri="{C3380CC4-5D6E-409C-BE32-E72D297353CC}">
              <c16:uniqueId val="{00000005-9399-4590-8B3F-887F8F1B3876}"/>
            </c:ext>
          </c:extLst>
        </c:ser>
        <c:ser>
          <c:idx val="6"/>
          <c:order val="6"/>
          <c:tx>
            <c:strRef>
              <c:f>Sheet1!$A$39</c:f>
              <c:strCache>
                <c:ptCount val="1"/>
                <c:pt idx="0">
                  <c:v>+95%</c:v>
                </c:pt>
              </c:strCache>
            </c:strRef>
          </c:tx>
          <c:spPr>
            <a:solidFill>
              <a:schemeClr val="accent1">
                <a:lumMod val="20000"/>
                <a:lumOff val="80000"/>
              </a:schemeClr>
            </a:solidFill>
            <a:ln>
              <a:noFill/>
            </a:ln>
            <a:effectLst/>
          </c:spPr>
          <c:val>
            <c:numRef>
              <c:f>Sheet1!$B$39:$I$39</c:f>
              <c:numCache>
                <c:formatCode>General</c:formatCode>
                <c:ptCount val="8"/>
                <c:pt idx="3" formatCode="0.0%">
                  <c:v>6.8625403554238356E-3</c:v>
                </c:pt>
                <c:pt idx="4" formatCode="0.0%">
                  <c:v>1.3725080710847671E-2</c:v>
                </c:pt>
                <c:pt idx="5" formatCode="0.0%">
                  <c:v>1.3725080710847671E-2</c:v>
                </c:pt>
                <c:pt idx="6" formatCode="0.0%">
                  <c:v>1.3725080710847671E-2</c:v>
                </c:pt>
                <c:pt idx="7" formatCode="0.0%">
                  <c:v>1.3725080710847671E-2</c:v>
                </c:pt>
              </c:numCache>
            </c:numRef>
          </c:val>
          <c:extLst>
            <c:ext xmlns:c16="http://schemas.microsoft.com/office/drawing/2014/chart" uri="{C3380CC4-5D6E-409C-BE32-E72D297353CC}">
              <c16:uniqueId val="{00000006-9399-4590-8B3F-887F8F1B3876}"/>
            </c:ext>
          </c:extLst>
        </c:ser>
        <c:dLbls>
          <c:showLegendKey val="0"/>
          <c:showVal val="0"/>
          <c:showCatName val="0"/>
          <c:showSerName val="0"/>
          <c:showPercent val="0"/>
          <c:showBubbleSize val="0"/>
        </c:dLbls>
        <c:axId val="233167088"/>
        <c:axId val="233165968"/>
      </c:areaChart>
      <c:lineChart>
        <c:grouping val="standard"/>
        <c:varyColors val="0"/>
        <c:ser>
          <c:idx val="7"/>
          <c:order val="7"/>
          <c:tx>
            <c:strRef>
              <c:f>Sheet1!$A$30</c:f>
              <c:strCache>
                <c:ptCount val="1"/>
                <c:pt idx="0">
                  <c:v>ინფლაცია</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Sheet1!$B$30:$I$30</c:f>
              <c:numCache>
                <c:formatCode>0.0%</c:formatCode>
                <c:ptCount val="8"/>
                <c:pt idx="0">
                  <c:v>4.8528982169673052E-2</c:v>
                </c:pt>
                <c:pt idx="1">
                  <c:v>5.2024648897532888E-2</c:v>
                </c:pt>
                <c:pt idx="2">
                  <c:v>9.5669143382477229E-2</c:v>
                </c:pt>
                <c:pt idx="3">
                  <c:v>0.11897525709391843</c:v>
                </c:pt>
                <c:pt idx="4">
                  <c:v>5.2999842307920098E-2</c:v>
                </c:pt>
                <c:pt idx="5">
                  <c:v>3.0000303301435993E-2</c:v>
                </c:pt>
                <c:pt idx="6">
                  <c:v>3.0000085886303651E-2</c:v>
                </c:pt>
                <c:pt idx="7">
                  <c:v>2.9999452043045771E-2</c:v>
                </c:pt>
              </c:numCache>
            </c:numRef>
          </c:val>
          <c:smooth val="0"/>
          <c:extLst>
            <c:ext xmlns:c16="http://schemas.microsoft.com/office/drawing/2014/chart" uri="{C3380CC4-5D6E-409C-BE32-E72D297353CC}">
              <c16:uniqueId val="{00000007-9399-4590-8B3F-887F8F1B3876}"/>
            </c:ext>
          </c:extLst>
        </c:ser>
        <c:dLbls>
          <c:showLegendKey val="0"/>
          <c:showVal val="0"/>
          <c:showCatName val="0"/>
          <c:showSerName val="0"/>
          <c:showPercent val="0"/>
          <c:showBubbleSize val="0"/>
        </c:dLbls>
        <c:marker val="1"/>
        <c:smooth val="0"/>
        <c:axId val="233167088"/>
        <c:axId val="233165968"/>
      </c:lineChart>
      <c:catAx>
        <c:axId val="233167088"/>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5968"/>
        <c:crosses val="autoZero"/>
        <c:auto val="1"/>
        <c:lblAlgn val="ctr"/>
        <c:lblOffset val="100"/>
        <c:noMultiLvlLbl val="0"/>
      </c:catAx>
      <c:valAx>
        <c:axId val="23316596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16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solidFill>
                  <a:schemeClr val="tx1">
                    <a:lumMod val="65000"/>
                    <a:lumOff val="35000"/>
                  </a:schemeClr>
                </a:solidFill>
              </a:rPr>
              <a:t>შემოსავლები</a:t>
            </a:r>
            <a:endParaRPr lang="en-US">
              <a:solidFill>
                <a:schemeClr val="tx1">
                  <a:lumMod val="65000"/>
                  <a:lumOff val="35000"/>
                </a:schemeClr>
              </a:solidFill>
            </a:endParaRPr>
          </a:p>
        </c:rich>
      </c:tx>
      <c:layout>
        <c:manualLayout>
          <c:xMode val="edge"/>
          <c:yMode val="edge"/>
          <c:x val="0.33450159762638365"/>
          <c:y val="1.3840830449826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Sheet1!$A$61</c:f>
              <c:strCache>
                <c:ptCount val="1"/>
              </c:strCache>
            </c:strRef>
          </c:tx>
          <c:spPr>
            <a:noFill/>
            <a:ln>
              <a:noFill/>
            </a:ln>
            <a:effectLst/>
          </c:spPr>
          <c:val>
            <c:numRef>
              <c:f>Sheet1!$B$61:$I$61</c:f>
              <c:numCache>
                <c:formatCode>0.0</c:formatCode>
                <c:ptCount val="8"/>
                <c:pt idx="0">
                  <c:v>12907.343685770002</c:v>
                </c:pt>
                <c:pt idx="1">
                  <c:v>12407.017042519999</c:v>
                </c:pt>
                <c:pt idx="2">
                  <c:v>15142.672793029997</c:v>
                </c:pt>
                <c:pt idx="3">
                  <c:v>18304.52631396395</c:v>
                </c:pt>
                <c:pt idx="4">
                  <c:v>18980.052627927904</c:v>
                </c:pt>
                <c:pt idx="5">
                  <c:v>20139.564614954885</c:v>
                </c:pt>
                <c:pt idx="6">
                  <c:v>21706.867206388681</c:v>
                </c:pt>
                <c:pt idx="7">
                  <c:v>23449.328178238829</c:v>
                </c:pt>
              </c:numCache>
            </c:numRef>
          </c:val>
          <c:extLst>
            <c:ext xmlns:c16="http://schemas.microsoft.com/office/drawing/2014/chart" uri="{C3380CC4-5D6E-409C-BE32-E72D297353CC}">
              <c16:uniqueId val="{00000000-F948-459B-A958-6A1F5240B176}"/>
            </c:ext>
          </c:extLst>
        </c:ser>
        <c:ser>
          <c:idx val="1"/>
          <c:order val="1"/>
          <c:tx>
            <c:strRef>
              <c:f>Sheet1!$A$62</c:f>
              <c:strCache>
                <c:ptCount val="1"/>
                <c:pt idx="0">
                  <c:v>-95%</c:v>
                </c:pt>
              </c:strCache>
            </c:strRef>
          </c:tx>
          <c:spPr>
            <a:solidFill>
              <a:schemeClr val="accent1">
                <a:lumMod val="20000"/>
                <a:lumOff val="80000"/>
              </a:schemeClr>
            </a:solidFill>
            <a:ln>
              <a:noFill/>
            </a:ln>
            <a:effectLst/>
          </c:spPr>
          <c:val>
            <c:numRef>
              <c:f>Sheet1!$B$62:$I$62</c:f>
              <c:numCache>
                <c:formatCode>General</c:formatCode>
                <c:ptCount val="8"/>
                <c:pt idx="3" formatCode="0.0">
                  <c:v>556.14001065664308</c:v>
                </c:pt>
                <c:pt idx="4" formatCode="0.0">
                  <c:v>1112.2800213132862</c:v>
                </c:pt>
                <c:pt idx="5" formatCode="0.0">
                  <c:v>1180.2304133867872</c:v>
                </c:pt>
                <c:pt idx="6" formatCode="0.0">
                  <c:v>1272.0783863075385</c:v>
                </c:pt>
                <c:pt idx="7" formatCode="0.0">
                  <c:v>1374.1910919412021</c:v>
                </c:pt>
              </c:numCache>
            </c:numRef>
          </c:val>
          <c:extLst>
            <c:ext xmlns:c16="http://schemas.microsoft.com/office/drawing/2014/chart" uri="{C3380CC4-5D6E-409C-BE32-E72D297353CC}">
              <c16:uniqueId val="{00000001-F948-459B-A958-6A1F5240B176}"/>
            </c:ext>
          </c:extLst>
        </c:ser>
        <c:ser>
          <c:idx val="2"/>
          <c:order val="2"/>
          <c:tx>
            <c:strRef>
              <c:f>Sheet1!$A$63</c:f>
              <c:strCache>
                <c:ptCount val="1"/>
                <c:pt idx="0">
                  <c:v>-60%</c:v>
                </c:pt>
              </c:strCache>
            </c:strRef>
          </c:tx>
          <c:spPr>
            <a:solidFill>
              <a:schemeClr val="accent1">
                <a:lumMod val="40000"/>
                <a:lumOff val="60000"/>
              </a:schemeClr>
            </a:solidFill>
            <a:ln>
              <a:noFill/>
            </a:ln>
            <a:effectLst/>
          </c:spPr>
          <c:val>
            <c:numRef>
              <c:f>Sheet1!$B$63:$I$63</c:f>
              <c:numCache>
                <c:formatCode>General</c:formatCode>
                <c:ptCount val="8"/>
                <c:pt idx="3" formatCode="0.0">
                  <c:v>195.84797975042011</c:v>
                </c:pt>
                <c:pt idx="4" formatCode="0.0">
                  <c:v>391.69595950084022</c:v>
                </c:pt>
                <c:pt idx="5" formatCode="0.0">
                  <c:v>415.62509021583992</c:v>
                </c:pt>
                <c:pt idx="6" formatCode="0.0">
                  <c:v>447.96989475428956</c:v>
                </c:pt>
                <c:pt idx="7" formatCode="0.0">
                  <c:v>483.92948536455651</c:v>
                </c:pt>
              </c:numCache>
            </c:numRef>
          </c:val>
          <c:extLst>
            <c:ext xmlns:c16="http://schemas.microsoft.com/office/drawing/2014/chart" uri="{C3380CC4-5D6E-409C-BE32-E72D297353CC}">
              <c16:uniqueId val="{00000002-F948-459B-A958-6A1F5240B176}"/>
            </c:ext>
          </c:extLst>
        </c:ser>
        <c:ser>
          <c:idx val="3"/>
          <c:order val="3"/>
          <c:tx>
            <c:strRef>
              <c:f>Sheet1!$A$64</c:f>
              <c:strCache>
                <c:ptCount val="1"/>
                <c:pt idx="0">
                  <c:v>-30%</c:v>
                </c:pt>
              </c:strCache>
            </c:strRef>
          </c:tx>
          <c:spPr>
            <a:solidFill>
              <a:schemeClr val="accent1">
                <a:lumMod val="60000"/>
                <a:lumOff val="40000"/>
              </a:schemeClr>
            </a:solidFill>
            <a:ln>
              <a:noFill/>
            </a:ln>
            <a:effectLst/>
          </c:spPr>
          <c:val>
            <c:numRef>
              <c:f>Sheet1!$B$64:$I$64</c:f>
              <c:numCache>
                <c:formatCode>General</c:formatCode>
                <c:ptCount val="8"/>
                <c:pt idx="3" formatCode="0.0">
                  <c:v>160.48569562898513</c:v>
                </c:pt>
                <c:pt idx="4" formatCode="0.0">
                  <c:v>320.97139125797025</c:v>
                </c:pt>
                <c:pt idx="5" formatCode="0.0">
                  <c:v>340.57988144248748</c:v>
                </c:pt>
                <c:pt idx="6" formatCode="0.0">
                  <c:v>367.08451254949028</c:v>
                </c:pt>
                <c:pt idx="7" formatCode="0.0">
                  <c:v>396.55124445541298</c:v>
                </c:pt>
              </c:numCache>
            </c:numRef>
          </c:val>
          <c:extLst>
            <c:ext xmlns:c16="http://schemas.microsoft.com/office/drawing/2014/chart" uri="{C3380CC4-5D6E-409C-BE32-E72D297353CC}">
              <c16:uniqueId val="{00000003-F948-459B-A958-6A1F5240B176}"/>
            </c:ext>
          </c:extLst>
        </c:ser>
        <c:ser>
          <c:idx val="4"/>
          <c:order val="4"/>
          <c:tx>
            <c:strRef>
              <c:f>Sheet1!$A$65</c:f>
              <c:strCache>
                <c:ptCount val="1"/>
                <c:pt idx="0">
                  <c:v>+30%</c:v>
                </c:pt>
              </c:strCache>
            </c:strRef>
          </c:tx>
          <c:spPr>
            <a:solidFill>
              <a:schemeClr val="accent1">
                <a:lumMod val="60000"/>
                <a:lumOff val="40000"/>
              </a:schemeClr>
            </a:solidFill>
            <a:ln>
              <a:noFill/>
            </a:ln>
            <a:effectLst/>
          </c:spPr>
          <c:val>
            <c:numRef>
              <c:f>Sheet1!$B$65:$I$65</c:f>
              <c:numCache>
                <c:formatCode>General</c:formatCode>
                <c:ptCount val="8"/>
                <c:pt idx="3" formatCode="0.0">
                  <c:v>160.48569562898513</c:v>
                </c:pt>
                <c:pt idx="4" formatCode="0.0">
                  <c:v>320.97139125797025</c:v>
                </c:pt>
                <c:pt idx="5" formatCode="0.0">
                  <c:v>340.57988144248748</c:v>
                </c:pt>
                <c:pt idx="6" formatCode="0.0">
                  <c:v>367.08451254949028</c:v>
                </c:pt>
                <c:pt idx="7" formatCode="0.0">
                  <c:v>396.55124445541298</c:v>
                </c:pt>
              </c:numCache>
            </c:numRef>
          </c:val>
          <c:extLst>
            <c:ext xmlns:c16="http://schemas.microsoft.com/office/drawing/2014/chart" uri="{C3380CC4-5D6E-409C-BE32-E72D297353CC}">
              <c16:uniqueId val="{00000004-F948-459B-A958-6A1F5240B176}"/>
            </c:ext>
          </c:extLst>
        </c:ser>
        <c:ser>
          <c:idx val="5"/>
          <c:order val="5"/>
          <c:tx>
            <c:strRef>
              <c:f>Sheet1!$A$66</c:f>
              <c:strCache>
                <c:ptCount val="1"/>
                <c:pt idx="0">
                  <c:v>+60%</c:v>
                </c:pt>
              </c:strCache>
            </c:strRef>
          </c:tx>
          <c:spPr>
            <a:solidFill>
              <a:schemeClr val="accent1">
                <a:lumMod val="40000"/>
                <a:lumOff val="60000"/>
              </a:schemeClr>
            </a:solidFill>
            <a:ln>
              <a:noFill/>
            </a:ln>
            <a:effectLst/>
          </c:spPr>
          <c:val>
            <c:numRef>
              <c:f>Sheet1!$B$66:$I$66</c:f>
              <c:numCache>
                <c:formatCode>General</c:formatCode>
                <c:ptCount val="8"/>
                <c:pt idx="3" formatCode="0.0">
                  <c:v>195.84797975042011</c:v>
                </c:pt>
                <c:pt idx="4" formatCode="0.0">
                  <c:v>391.69595950084022</c:v>
                </c:pt>
                <c:pt idx="5" formatCode="0.0">
                  <c:v>415.62509021583992</c:v>
                </c:pt>
                <c:pt idx="6" formatCode="0.0">
                  <c:v>447.96989475428956</c:v>
                </c:pt>
                <c:pt idx="7" formatCode="0.0">
                  <c:v>483.92948536455651</c:v>
                </c:pt>
              </c:numCache>
            </c:numRef>
          </c:val>
          <c:extLst>
            <c:ext xmlns:c16="http://schemas.microsoft.com/office/drawing/2014/chart" uri="{C3380CC4-5D6E-409C-BE32-E72D297353CC}">
              <c16:uniqueId val="{00000005-F948-459B-A958-6A1F5240B176}"/>
            </c:ext>
          </c:extLst>
        </c:ser>
        <c:ser>
          <c:idx val="6"/>
          <c:order val="6"/>
          <c:tx>
            <c:strRef>
              <c:f>Sheet1!$A$67</c:f>
              <c:strCache>
                <c:ptCount val="1"/>
                <c:pt idx="0">
                  <c:v>+95%</c:v>
                </c:pt>
              </c:strCache>
            </c:strRef>
          </c:tx>
          <c:spPr>
            <a:solidFill>
              <a:schemeClr val="accent1">
                <a:lumMod val="20000"/>
                <a:lumOff val="80000"/>
              </a:schemeClr>
            </a:solidFill>
            <a:ln>
              <a:noFill/>
            </a:ln>
            <a:effectLst/>
          </c:spPr>
          <c:val>
            <c:numRef>
              <c:f>Sheet1!$B$67:$I$67</c:f>
              <c:numCache>
                <c:formatCode>General</c:formatCode>
                <c:ptCount val="8"/>
                <c:pt idx="3" formatCode="0.0">
                  <c:v>556.14001065664308</c:v>
                </c:pt>
                <c:pt idx="4" formatCode="0.0">
                  <c:v>1112.2800213132862</c:v>
                </c:pt>
                <c:pt idx="5" formatCode="0.0">
                  <c:v>1180.2304133867872</c:v>
                </c:pt>
                <c:pt idx="6" formatCode="0.0">
                  <c:v>1272.0783863075385</c:v>
                </c:pt>
                <c:pt idx="7" formatCode="0.0">
                  <c:v>1374.1910919412021</c:v>
                </c:pt>
              </c:numCache>
            </c:numRef>
          </c:val>
          <c:extLst>
            <c:ext xmlns:c16="http://schemas.microsoft.com/office/drawing/2014/chart" uri="{C3380CC4-5D6E-409C-BE32-E72D297353CC}">
              <c16:uniqueId val="{00000006-F948-459B-A958-6A1F5240B176}"/>
            </c:ext>
          </c:extLst>
        </c:ser>
        <c:dLbls>
          <c:showLegendKey val="0"/>
          <c:showVal val="0"/>
          <c:showCatName val="0"/>
          <c:showSerName val="0"/>
          <c:showPercent val="0"/>
          <c:showBubbleSize val="0"/>
        </c:dLbls>
        <c:axId val="235977712"/>
        <c:axId val="235978272"/>
      </c:areaChart>
      <c:lineChart>
        <c:grouping val="standard"/>
        <c:varyColors val="0"/>
        <c:ser>
          <c:idx val="7"/>
          <c:order val="7"/>
          <c:tx>
            <c:strRef>
              <c:f>Sheet1!$A$58</c:f>
              <c:strCache>
                <c:ptCount val="1"/>
                <c:pt idx="0">
                  <c:v>შემოსავლები</c:v>
                </c:pt>
              </c:strCache>
            </c:strRef>
          </c:tx>
          <c:spPr>
            <a:ln w="28575" cap="rnd">
              <a:solidFill>
                <a:schemeClr val="accent1">
                  <a:lumMod val="50000"/>
                </a:schemeClr>
              </a:solidFill>
              <a:round/>
            </a:ln>
            <a:effectLst/>
          </c:spPr>
          <c:marker>
            <c:symbol val="none"/>
          </c:marker>
          <c:cat>
            <c:multiLvlStrRef>
              <c:f>Sheet1!$B$2:$I$3</c:f>
              <c:multiLvlStrCache>
                <c:ptCount val="8"/>
                <c:lvl>
                  <c:pt idx="0">
                    <c:v>ფაქტ.</c:v>
                  </c:pt>
                  <c:pt idx="1">
                    <c:v>ფაქტ.</c:v>
                  </c:pt>
                  <c:pt idx="2">
                    <c:v>ფაქტ.</c:v>
                  </c:pt>
                  <c:pt idx="3">
                    <c:v>მოსალ</c:v>
                  </c:pt>
                  <c:pt idx="4">
                    <c:v>პროგნ.</c:v>
                  </c:pt>
                  <c:pt idx="5">
                    <c:v>პროგნ.</c:v>
                  </c:pt>
                  <c:pt idx="6">
                    <c:v>პროგნ.</c:v>
                  </c:pt>
                  <c:pt idx="7">
                    <c:v>პროგნ.</c:v>
                  </c:pt>
                </c:lvl>
                <c:lvl>
                  <c:pt idx="0">
                    <c:v>2019</c:v>
                  </c:pt>
                  <c:pt idx="1">
                    <c:v>2020</c:v>
                  </c:pt>
                  <c:pt idx="2">
                    <c:v>2021</c:v>
                  </c:pt>
                  <c:pt idx="3">
                    <c:v>2022</c:v>
                  </c:pt>
                  <c:pt idx="4">
                    <c:v>2023</c:v>
                  </c:pt>
                  <c:pt idx="5">
                    <c:v>2024</c:v>
                  </c:pt>
                  <c:pt idx="6">
                    <c:v>2025</c:v>
                  </c:pt>
                  <c:pt idx="7">
                    <c:v>2026</c:v>
                  </c:pt>
                </c:lvl>
              </c:multiLvlStrCache>
            </c:multiLvlStrRef>
          </c:cat>
          <c:val>
            <c:numRef>
              <c:f>Sheet1!$B$58:$I$58</c:f>
              <c:numCache>
                <c:formatCode>0.0</c:formatCode>
                <c:ptCount val="8"/>
                <c:pt idx="0">
                  <c:v>12907.343685770002</c:v>
                </c:pt>
                <c:pt idx="1">
                  <c:v>12407.017042519999</c:v>
                </c:pt>
                <c:pt idx="2">
                  <c:v>15142.672793029997</c:v>
                </c:pt>
                <c:pt idx="3">
                  <c:v>19217</c:v>
                </c:pt>
                <c:pt idx="4">
                  <c:v>20805</c:v>
                </c:pt>
                <c:pt idx="5">
                  <c:v>22076</c:v>
                </c:pt>
                <c:pt idx="6">
                  <c:v>23794</c:v>
                </c:pt>
                <c:pt idx="7">
                  <c:v>25704</c:v>
                </c:pt>
              </c:numCache>
            </c:numRef>
          </c:val>
          <c:smooth val="0"/>
          <c:extLst>
            <c:ext xmlns:c16="http://schemas.microsoft.com/office/drawing/2014/chart" uri="{C3380CC4-5D6E-409C-BE32-E72D297353CC}">
              <c16:uniqueId val="{00000007-F948-459B-A958-6A1F5240B176}"/>
            </c:ext>
          </c:extLst>
        </c:ser>
        <c:dLbls>
          <c:showLegendKey val="0"/>
          <c:showVal val="0"/>
          <c:showCatName val="0"/>
          <c:showSerName val="0"/>
          <c:showPercent val="0"/>
          <c:showBubbleSize val="0"/>
        </c:dLbls>
        <c:marker val="1"/>
        <c:smooth val="0"/>
        <c:axId val="235977712"/>
        <c:axId val="235978272"/>
      </c:lineChart>
      <c:catAx>
        <c:axId val="23597771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8272"/>
        <c:crosses val="autoZero"/>
        <c:auto val="1"/>
        <c:lblAlgn val="ctr"/>
        <c:lblOffset val="100"/>
        <c:noMultiLvlLbl val="0"/>
      </c:catAx>
      <c:valAx>
        <c:axId val="235978272"/>
        <c:scaling>
          <c:orientation val="minMax"/>
          <c:min val="700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977712"/>
        <c:crosses val="autoZero"/>
        <c:crossBetween val="between"/>
      </c:valAx>
      <c:spPr>
        <a:noFill/>
        <a:ln>
          <a:noFill/>
        </a:ln>
        <a:effectLst/>
      </c:spPr>
    </c:plotArea>
    <c:legend>
      <c:legendPos val="b"/>
      <c:layout>
        <c:manualLayout>
          <c:xMode val="edge"/>
          <c:yMode val="edge"/>
          <c:x val="6.6304347826086898E-3"/>
          <c:y val="0.81054211748711269"/>
          <c:w val="0.96500000000000008"/>
          <c:h val="0.1606809040956211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ეკონომიკური ზრდა</c:v>
                </c:pt>
              </c:strCache>
            </c:strRef>
          </c:tx>
          <c:spPr>
            <a:ln w="19050" cap="rnd">
              <a:solidFill>
                <a:srgbClr val="FF0000"/>
              </a:solidFill>
              <a:round/>
            </a:ln>
            <a:effectLst/>
          </c:spPr>
          <c:marker>
            <c:symbol val="none"/>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2021</c:v>
                </c:pt>
                <c:pt idx="1">
                  <c:v>2022</c:v>
                </c:pt>
                <c:pt idx="2">
                  <c:v>2023</c:v>
                </c:pt>
                <c:pt idx="3">
                  <c:v>2024</c:v>
                </c:pt>
                <c:pt idx="4">
                  <c:v>2025</c:v>
                </c:pt>
                <c:pt idx="5">
                  <c:v>2026</c:v>
                </c:pt>
              </c:numCache>
            </c:numRef>
          </c:cat>
          <c:val>
            <c:numRef>
              <c:f>Sheet1!$B$2:$B$7</c:f>
              <c:numCache>
                <c:formatCode>0.0%</c:formatCode>
                <c:ptCount val="6"/>
                <c:pt idx="0">
                  <c:v>0.10465537207639986</c:v>
                </c:pt>
                <c:pt idx="1">
                  <c:v>8.7000068174859502E-2</c:v>
                </c:pt>
                <c:pt idx="2">
                  <c:v>2.4999566815734564E-2</c:v>
                </c:pt>
                <c:pt idx="3">
                  <c:v>2.7000712777294877E-2</c:v>
                </c:pt>
                <c:pt idx="4">
                  <c:v>2.6999680628388534E-2</c:v>
                </c:pt>
                <c:pt idx="5">
                  <c:v>2.500022047959316E-2</c:v>
                </c:pt>
              </c:numCache>
            </c:numRef>
          </c:val>
          <c:smooth val="0"/>
          <c:extLst>
            <c:ext xmlns:c16="http://schemas.microsoft.com/office/drawing/2014/chart" uri="{C3380CC4-5D6E-409C-BE32-E72D297353CC}">
              <c16:uniqueId val="{00000000-A381-4E91-AA71-C6BD1B95EB7A}"/>
            </c:ext>
          </c:extLst>
        </c:ser>
        <c:dLbls>
          <c:showLegendKey val="0"/>
          <c:showVal val="0"/>
          <c:showCatName val="0"/>
          <c:showSerName val="0"/>
          <c:showPercent val="0"/>
          <c:showBubbleSize val="0"/>
        </c:dLbls>
        <c:smooth val="0"/>
        <c:axId val="1868259184"/>
        <c:axId val="1868260272"/>
      </c:lineChart>
      <c:catAx>
        <c:axId val="18682591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1868260272"/>
        <c:crosses val="autoZero"/>
        <c:auto val="1"/>
        <c:lblAlgn val="ctr"/>
        <c:lblOffset val="100"/>
        <c:noMultiLvlLbl val="0"/>
      </c:catAx>
      <c:valAx>
        <c:axId val="1868260272"/>
        <c:scaling>
          <c:orientation val="minMax"/>
        </c:scaling>
        <c:delete val="1"/>
        <c:axPos val="l"/>
        <c:numFmt formatCode="0.0%" sourceLinked="1"/>
        <c:majorTickMark val="none"/>
        <c:minorTickMark val="none"/>
        <c:tickLblPos val="nextTo"/>
        <c:crossAx val="186825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0.38813</cdr:x>
      <cdr:y>0.10608</cdr:y>
    </cdr:from>
    <cdr:to>
      <cdr:x>0.95943</cdr:x>
      <cdr:y>0.75812</cdr:y>
    </cdr:to>
    <cdr:sp macro="" textlink="">
      <cdr:nvSpPr>
        <cdr:cNvPr id="3" name="Rectangle 2"/>
        <cdr:cNvSpPr/>
      </cdr:nvSpPr>
      <cdr:spPr>
        <a:xfrm xmlns:a="http://schemas.openxmlformats.org/drawingml/2006/main">
          <a:off x="1367625" y="279884"/>
          <a:ext cx="2013037" cy="172035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0.39644</cdr:x>
      <cdr:y>0.11823</cdr:y>
    </cdr:from>
    <cdr:to>
      <cdr:x>0.95796</cdr:x>
      <cdr:y>0.76538</cdr:y>
    </cdr:to>
    <cdr:sp macro="" textlink="">
      <cdr:nvSpPr>
        <cdr:cNvPr id="2" name="Rectangle 1"/>
        <cdr:cNvSpPr/>
      </cdr:nvSpPr>
      <cdr:spPr>
        <a:xfrm xmlns:a="http://schemas.openxmlformats.org/drawingml/2006/main">
          <a:off x="1399430" y="360365"/>
          <a:ext cx="1982136" cy="1972513"/>
        </a:xfrm>
        <a:prstGeom xmlns:a="http://schemas.openxmlformats.org/drawingml/2006/main" prst="rect">
          <a:avLst/>
        </a:prstGeom>
        <a:solidFill xmlns:a="http://schemas.openxmlformats.org/drawingml/2006/main">
          <a:schemeClr val="accent1">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0.38734</cdr:x>
      <cdr:y>0.1133</cdr:y>
    </cdr:from>
    <cdr:to>
      <cdr:x>0.95918</cdr:x>
      <cdr:y>0.81034</cdr:y>
    </cdr:to>
    <cdr:sp macro="" textlink="">
      <cdr:nvSpPr>
        <cdr:cNvPr id="3" name="Rectangle 2"/>
        <cdr:cNvSpPr/>
      </cdr:nvSpPr>
      <cdr:spPr>
        <a:xfrm xmlns:a="http://schemas.openxmlformats.org/drawingml/2006/main">
          <a:off x="1383527" y="319798"/>
          <a:ext cx="2042544" cy="1967447"/>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0.39698</cdr:x>
      <cdr:y>0.1133</cdr:y>
    </cdr:from>
    <cdr:to>
      <cdr:x>0.96196</cdr:x>
      <cdr:y>0.81034</cdr:y>
    </cdr:to>
    <cdr:sp macro="" textlink="">
      <cdr:nvSpPr>
        <cdr:cNvPr id="3" name="Rectangle 2"/>
        <cdr:cNvSpPr/>
      </cdr:nvSpPr>
      <cdr:spPr>
        <a:xfrm xmlns:a="http://schemas.openxmlformats.org/drawingml/2006/main">
          <a:off x="1391478" y="311884"/>
          <a:ext cx="1980384" cy="1918759"/>
        </a:xfrm>
        <a:prstGeom xmlns:a="http://schemas.openxmlformats.org/drawingml/2006/main" prst="rect">
          <a:avLst/>
        </a:prstGeom>
        <a:solidFill xmlns:a="http://schemas.openxmlformats.org/drawingml/2006/main">
          <a:schemeClr val="tx2">
            <a:lumMod val="40000"/>
            <a:lumOff val="60000"/>
            <a:alpha val="2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DB2D-D72A-4B86-9BB8-A94F265B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4671</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Tsotne Marghia</dc:creator>
  <cp:keywords/>
  <dc:description/>
  <cp:lastModifiedBy>Vakhtang Chalapeikrishvili</cp:lastModifiedBy>
  <cp:revision>86</cp:revision>
  <cp:lastPrinted>2022-09-12T17:06:00Z</cp:lastPrinted>
  <dcterms:created xsi:type="dcterms:W3CDTF">2022-09-12T17:26:00Z</dcterms:created>
  <dcterms:modified xsi:type="dcterms:W3CDTF">2022-11-30T09:07:00Z</dcterms:modified>
</cp:coreProperties>
</file>